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B42EAF" w14:textId="77777777" w:rsidR="00EB5521" w:rsidRDefault="00EB5521" w:rsidP="007F51AC">
      <w:pPr>
        <w:spacing w:before="40" w:line="192" w:lineRule="auto"/>
        <w:rPr>
          <w:rFonts w:ascii="Times New Roman" w:cs="Times New Roman"/>
          <w:sz w:val="28"/>
          <w:szCs w:val="28"/>
        </w:rPr>
      </w:pPr>
      <w:bookmarkStart w:id="0" w:name="bookmark=id.gjdgxs" w:colFirst="0" w:colLast="0"/>
      <w:bookmarkEnd w:id="0"/>
    </w:p>
    <w:p w14:paraId="586FD387" w14:textId="2C020BFC" w:rsidR="007F51AC" w:rsidRPr="00DB6F2C" w:rsidRDefault="007F51AC" w:rsidP="007F51AC">
      <w:pPr>
        <w:spacing w:before="40" w:line="192" w:lineRule="auto"/>
        <w:ind w:firstLine="10206"/>
        <w:rPr>
          <w:rFonts w:ascii="Times New Roman" w:cs="Times New Roman"/>
        </w:rPr>
      </w:pPr>
      <w:r w:rsidRPr="00E34E32">
        <w:rPr>
          <w:rFonts w:ascii="Times New Roman" w:cs="Times New Roman"/>
        </w:rPr>
        <w:t>Додаток</w:t>
      </w:r>
      <w:r w:rsidR="002347AB" w:rsidRPr="00E34E32">
        <w:rPr>
          <w:rFonts w:ascii="Times New Roman" w:cs="Times New Roman"/>
        </w:rPr>
        <w:t xml:space="preserve"> 2</w:t>
      </w:r>
    </w:p>
    <w:p w14:paraId="5512C7B8" w14:textId="77777777" w:rsidR="007D68FC" w:rsidRPr="00DB6F2C" w:rsidRDefault="007F51A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 xml:space="preserve">до </w:t>
      </w:r>
      <w:r w:rsidR="007D68FC" w:rsidRPr="00DB6F2C">
        <w:rPr>
          <w:rFonts w:ascii="Times New Roman" w:cs="Times New Roman"/>
        </w:rPr>
        <w:t xml:space="preserve">Комплексної </w:t>
      </w:r>
    </w:p>
    <w:p w14:paraId="4C84CA57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>програми підтримки ветеранів війни</w:t>
      </w:r>
    </w:p>
    <w:p w14:paraId="1D53460C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>та членів їх сімей, членів сімей загиблих</w:t>
      </w:r>
    </w:p>
    <w:p w14:paraId="1EB2F70E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 xml:space="preserve">(померлих) ветеранів війни, </w:t>
      </w:r>
    </w:p>
    <w:p w14:paraId="52BC8C82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 xml:space="preserve">членів сімей загиблих (померлих) </w:t>
      </w:r>
    </w:p>
    <w:p w14:paraId="26672873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DB6F2C">
        <w:rPr>
          <w:rFonts w:ascii="Times New Roman" w:cs="Times New Roman"/>
        </w:rPr>
        <w:t xml:space="preserve">Захисників і Захисниць України  </w:t>
      </w:r>
    </w:p>
    <w:p w14:paraId="5E8799B8" w14:textId="77777777" w:rsidR="007D68FC" w:rsidRPr="00DB6F2C" w:rsidRDefault="007D68FC" w:rsidP="007D68FC">
      <w:pPr>
        <w:spacing w:before="40" w:line="192" w:lineRule="auto"/>
        <w:ind w:firstLine="10206"/>
        <w:rPr>
          <w:rFonts w:ascii="Times New Roman" w:cs="Times New Roman"/>
        </w:rPr>
      </w:pPr>
      <w:r w:rsidRPr="00E34E32">
        <w:rPr>
          <w:rFonts w:ascii="Times New Roman" w:cs="Times New Roman"/>
        </w:rPr>
        <w:t>на період дії воєнного стану в Україні</w:t>
      </w:r>
      <w:r w:rsidRPr="00DB6F2C">
        <w:rPr>
          <w:rFonts w:ascii="Times New Roman" w:cs="Times New Roman"/>
        </w:rPr>
        <w:t xml:space="preserve"> </w:t>
      </w:r>
    </w:p>
    <w:p w14:paraId="7641719C" w14:textId="77777777" w:rsidR="007F51AC" w:rsidRPr="00DB6F2C" w:rsidRDefault="007F51AC" w:rsidP="007F51AC">
      <w:pPr>
        <w:spacing w:before="40" w:line="192" w:lineRule="auto"/>
        <w:ind w:firstLine="10206"/>
        <w:rPr>
          <w:rFonts w:ascii="Times New Roman" w:cs="Times New Roman"/>
          <w:sz w:val="28"/>
          <w:szCs w:val="28"/>
        </w:rPr>
      </w:pPr>
    </w:p>
    <w:p w14:paraId="47B07524" w14:textId="77777777" w:rsidR="00EB5521" w:rsidRPr="00DB6F2C" w:rsidRDefault="002C5281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DB6F2C">
        <w:rPr>
          <w:rFonts w:ascii="Times New Roman" w:cs="Times New Roman"/>
          <w:b/>
          <w:sz w:val="28"/>
          <w:szCs w:val="28"/>
        </w:rPr>
        <w:t xml:space="preserve">Перелік завдань, заходів та показників </w:t>
      </w:r>
    </w:p>
    <w:p w14:paraId="578ACF80" w14:textId="77777777" w:rsidR="007D68FC" w:rsidRPr="00DB6F2C" w:rsidRDefault="007D68FC" w:rsidP="007D68FC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DB6F2C">
        <w:rPr>
          <w:rFonts w:ascii="Times New Roman" w:cs="Times New Roman"/>
          <w:b/>
          <w:sz w:val="28"/>
          <w:szCs w:val="28"/>
        </w:rPr>
        <w:t xml:space="preserve">Комплексної  програми підтримки ветеранів війни та членів їх сімей, членів сімей загиблих (померлих) ветеранів війни, членів сімей загиблих (померлих) Захисників і Захисниць України  </w:t>
      </w:r>
    </w:p>
    <w:p w14:paraId="03475126" w14:textId="77777777" w:rsidR="007F51AC" w:rsidRPr="00DB6F2C" w:rsidRDefault="007D68FC" w:rsidP="007D68FC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  <w:r w:rsidRPr="00DB6F2C">
        <w:rPr>
          <w:rFonts w:ascii="Times New Roman" w:cs="Times New Roman"/>
          <w:b/>
          <w:sz w:val="28"/>
          <w:szCs w:val="28"/>
        </w:rPr>
        <w:t>на період дії воєнного стану в Україні</w:t>
      </w:r>
    </w:p>
    <w:p w14:paraId="6200C4A4" w14:textId="77777777" w:rsidR="007D68FC" w:rsidRPr="00DB6F2C" w:rsidRDefault="007D68FC" w:rsidP="007D68FC">
      <w:pPr>
        <w:ind w:firstLine="1418"/>
        <w:jc w:val="center"/>
        <w:rPr>
          <w:rFonts w:ascii="Times New Roman" w:cs="Times New Roman"/>
          <w:b/>
          <w:sz w:val="28"/>
          <w:szCs w:val="28"/>
        </w:rPr>
      </w:pPr>
    </w:p>
    <w:tbl>
      <w:tblPr>
        <w:tblStyle w:val="ad"/>
        <w:tblW w:w="1624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2389"/>
        <w:gridCol w:w="3401"/>
        <w:gridCol w:w="6"/>
        <w:gridCol w:w="3116"/>
        <w:gridCol w:w="1562"/>
        <w:gridCol w:w="1731"/>
        <w:gridCol w:w="1560"/>
        <w:gridCol w:w="1955"/>
      </w:tblGrid>
      <w:tr w:rsidR="00EB5521" w:rsidRPr="00DB6F2C" w14:paraId="5203A292" w14:textId="77777777" w:rsidTr="007D68FC">
        <w:trPr>
          <w:cantSplit/>
          <w:trHeight w:val="325"/>
          <w:tblHeader/>
        </w:trPr>
        <w:tc>
          <w:tcPr>
            <w:tcW w:w="526" w:type="dxa"/>
            <w:vMerge w:val="restart"/>
            <w:vAlign w:val="center"/>
          </w:tcPr>
          <w:p w14:paraId="5284BD5E" w14:textId="77777777" w:rsidR="00EB5521" w:rsidRPr="00DB6F2C" w:rsidRDefault="002C5281">
            <w:pPr>
              <w:spacing w:line="216" w:lineRule="auto"/>
              <w:ind w:left="34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14:paraId="49619E4F" w14:textId="77777777" w:rsidR="00EB5521" w:rsidRPr="00DB6F2C" w:rsidRDefault="002C5281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 з/п</w:t>
            </w:r>
          </w:p>
        </w:tc>
        <w:tc>
          <w:tcPr>
            <w:tcW w:w="2389" w:type="dxa"/>
            <w:vMerge w:val="restart"/>
            <w:vAlign w:val="center"/>
          </w:tcPr>
          <w:p w14:paraId="41030A66" w14:textId="77777777" w:rsidR="00EB5521" w:rsidRPr="00DB6F2C" w:rsidRDefault="002C5281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Назва завдання </w:t>
            </w:r>
          </w:p>
        </w:tc>
        <w:tc>
          <w:tcPr>
            <w:tcW w:w="3407" w:type="dxa"/>
            <w:gridSpan w:val="2"/>
            <w:vMerge w:val="restart"/>
            <w:vAlign w:val="center"/>
          </w:tcPr>
          <w:p w14:paraId="2CB2D2C2" w14:textId="77777777" w:rsidR="00EB5521" w:rsidRPr="00DB6F2C" w:rsidRDefault="002C5281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Перелік заходів завдання </w:t>
            </w:r>
          </w:p>
        </w:tc>
        <w:tc>
          <w:tcPr>
            <w:tcW w:w="3116" w:type="dxa"/>
            <w:vMerge w:val="restart"/>
            <w:vAlign w:val="center"/>
          </w:tcPr>
          <w:p w14:paraId="634C1EF0" w14:textId="77777777" w:rsidR="00EB5521" w:rsidRPr="00DB6F2C" w:rsidRDefault="002C5281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Показники виконання заходу, один. виміру </w:t>
            </w:r>
          </w:p>
        </w:tc>
        <w:tc>
          <w:tcPr>
            <w:tcW w:w="1562" w:type="dxa"/>
            <w:vMerge w:val="restart"/>
            <w:vAlign w:val="center"/>
          </w:tcPr>
          <w:p w14:paraId="7A4BBB72" w14:textId="77777777" w:rsidR="00EB5521" w:rsidRPr="00DB6F2C" w:rsidRDefault="002C5281">
            <w:pPr>
              <w:spacing w:line="192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3291" w:type="dxa"/>
            <w:gridSpan w:val="2"/>
            <w:vAlign w:val="center"/>
          </w:tcPr>
          <w:p w14:paraId="4662F196" w14:textId="77777777" w:rsidR="00EB5521" w:rsidRPr="00DB6F2C" w:rsidRDefault="002C5281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Фінансування </w:t>
            </w:r>
          </w:p>
        </w:tc>
        <w:tc>
          <w:tcPr>
            <w:tcW w:w="1955" w:type="dxa"/>
            <w:vMerge w:val="restart"/>
            <w:vAlign w:val="center"/>
          </w:tcPr>
          <w:p w14:paraId="5CDAD3FE" w14:textId="77777777" w:rsidR="00EB5521" w:rsidRPr="00DB6F2C" w:rsidRDefault="002C5281">
            <w:pPr>
              <w:spacing w:line="216" w:lineRule="auto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Очікуваний результат</w:t>
            </w:r>
          </w:p>
        </w:tc>
      </w:tr>
      <w:tr w:rsidR="00EB5521" w:rsidRPr="00DB6F2C" w14:paraId="7B87531D" w14:textId="77777777" w:rsidTr="007D68FC">
        <w:trPr>
          <w:cantSplit/>
          <w:trHeight w:val="283"/>
          <w:tblHeader/>
        </w:trPr>
        <w:tc>
          <w:tcPr>
            <w:tcW w:w="526" w:type="dxa"/>
            <w:vMerge/>
            <w:vAlign w:val="center"/>
          </w:tcPr>
          <w:p w14:paraId="70809912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Merge/>
            <w:vAlign w:val="center"/>
          </w:tcPr>
          <w:p w14:paraId="107D462C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3407" w:type="dxa"/>
            <w:gridSpan w:val="2"/>
            <w:vMerge/>
            <w:vAlign w:val="center"/>
          </w:tcPr>
          <w:p w14:paraId="30F9B890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3116" w:type="dxa"/>
            <w:vMerge/>
            <w:vAlign w:val="center"/>
          </w:tcPr>
          <w:p w14:paraId="772A3717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562" w:type="dxa"/>
            <w:vMerge/>
            <w:vAlign w:val="center"/>
          </w:tcPr>
          <w:p w14:paraId="299051D6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  <w:vAlign w:val="center"/>
          </w:tcPr>
          <w:p w14:paraId="20A0488C" w14:textId="77777777" w:rsidR="00EB5521" w:rsidRPr="00DB6F2C" w:rsidRDefault="002C528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джерела</w:t>
            </w:r>
          </w:p>
        </w:tc>
        <w:tc>
          <w:tcPr>
            <w:tcW w:w="1560" w:type="dxa"/>
            <w:vAlign w:val="center"/>
          </w:tcPr>
          <w:p w14:paraId="400BF97A" w14:textId="77777777" w:rsidR="00EB5521" w:rsidRPr="00DB6F2C" w:rsidRDefault="002C5281">
            <w:pPr>
              <w:ind w:left="-110" w:right="-108"/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обсяги, тис. грн</w:t>
            </w:r>
          </w:p>
        </w:tc>
        <w:tc>
          <w:tcPr>
            <w:tcW w:w="1955" w:type="dxa"/>
            <w:vMerge/>
            <w:vAlign w:val="center"/>
          </w:tcPr>
          <w:p w14:paraId="266E9643" w14:textId="77777777" w:rsidR="00EB5521" w:rsidRPr="00DB6F2C" w:rsidRDefault="00EB55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</w:tr>
      <w:tr w:rsidR="00EB5521" w:rsidRPr="00DB6F2C" w14:paraId="57A5750B" w14:textId="77777777" w:rsidTr="007D68FC">
        <w:trPr>
          <w:cantSplit/>
          <w:trHeight w:val="141"/>
          <w:tblHeader/>
        </w:trPr>
        <w:tc>
          <w:tcPr>
            <w:tcW w:w="16246" w:type="dxa"/>
            <w:gridSpan w:val="9"/>
            <w:vAlign w:val="center"/>
          </w:tcPr>
          <w:p w14:paraId="118C8A61" w14:textId="77777777" w:rsidR="00EB5521" w:rsidRPr="00DB6F2C" w:rsidRDefault="002C5281" w:rsidP="00F260D5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202</w:t>
            </w:r>
            <w:r w:rsidR="00CB2F41">
              <w:rPr>
                <w:rFonts w:ascii="Times New Roman" w:cs="Times New Roman"/>
                <w:b/>
                <w:sz w:val="20"/>
                <w:szCs w:val="20"/>
              </w:rPr>
              <w:t>6</w:t>
            </w:r>
            <w:r w:rsidRPr="00DB6F2C">
              <w:rPr>
                <w:rFonts w:ascii="Times New Roman" w:cs="Times New Roman"/>
                <w:b/>
                <w:sz w:val="20"/>
                <w:szCs w:val="20"/>
              </w:rPr>
              <w:t xml:space="preserve"> рік</w:t>
            </w:r>
          </w:p>
        </w:tc>
      </w:tr>
      <w:tr w:rsidR="00EB5521" w:rsidRPr="00DB6F2C" w14:paraId="07313E65" w14:textId="77777777" w:rsidTr="007D68FC">
        <w:trPr>
          <w:cantSplit/>
          <w:trHeight w:val="130"/>
          <w:tblHeader/>
        </w:trPr>
        <w:tc>
          <w:tcPr>
            <w:tcW w:w="526" w:type="dxa"/>
            <w:vAlign w:val="center"/>
          </w:tcPr>
          <w:p w14:paraId="0187FD9E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vAlign w:val="center"/>
          </w:tcPr>
          <w:p w14:paraId="591948F9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7" w:type="dxa"/>
            <w:gridSpan w:val="2"/>
            <w:vAlign w:val="center"/>
          </w:tcPr>
          <w:p w14:paraId="3A11699A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3116" w:type="dxa"/>
            <w:vAlign w:val="center"/>
          </w:tcPr>
          <w:p w14:paraId="490D0286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2" w:type="dxa"/>
            <w:vAlign w:val="center"/>
          </w:tcPr>
          <w:p w14:paraId="1326B6C2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5</w:t>
            </w:r>
          </w:p>
        </w:tc>
        <w:tc>
          <w:tcPr>
            <w:tcW w:w="1731" w:type="dxa"/>
            <w:vAlign w:val="center"/>
          </w:tcPr>
          <w:p w14:paraId="4F3DEF6A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vAlign w:val="center"/>
          </w:tcPr>
          <w:p w14:paraId="1616A587" w14:textId="77777777" w:rsidR="00EB5521" w:rsidRPr="00DB6F2C" w:rsidRDefault="002C5281">
            <w:pPr>
              <w:ind w:left="-110" w:right="-108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5" w:type="dxa"/>
            <w:vAlign w:val="center"/>
          </w:tcPr>
          <w:p w14:paraId="7DD8F4B8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8</w:t>
            </w:r>
          </w:p>
        </w:tc>
      </w:tr>
      <w:tr w:rsidR="00EB5521" w:rsidRPr="00DB6F2C" w14:paraId="68C9F8E1" w14:textId="77777777" w:rsidTr="007D68FC">
        <w:trPr>
          <w:cantSplit/>
          <w:trHeight w:val="486"/>
          <w:tblHeader/>
        </w:trPr>
        <w:tc>
          <w:tcPr>
            <w:tcW w:w="526" w:type="dxa"/>
            <w:vAlign w:val="center"/>
          </w:tcPr>
          <w:p w14:paraId="07334C70" w14:textId="77777777" w:rsidR="00EB5521" w:rsidRPr="00DB6F2C" w:rsidRDefault="002C528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1.</w:t>
            </w:r>
          </w:p>
          <w:p w14:paraId="56080A73" w14:textId="77777777" w:rsidR="00EB5521" w:rsidRPr="00DB6F2C" w:rsidRDefault="00EB552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14:paraId="0D85CC9A" w14:textId="77777777" w:rsidR="00EB5521" w:rsidRPr="00FD7040" w:rsidRDefault="002C5281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Завдання 1</w:t>
            </w:r>
            <w:r w:rsidR="00FD7040"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6106D5DB" w14:textId="77777777" w:rsidR="00EB5521" w:rsidRPr="00DB6F2C" w:rsidRDefault="007D68FC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Організація здійснення поховань (перепоховань у випадку встановлення особи) невпізнаних тіл (останків) військовослужбовців, поліцейських, які загинули (померли) внаслідок збройної агресії проти України</w:t>
            </w:r>
          </w:p>
        </w:tc>
        <w:tc>
          <w:tcPr>
            <w:tcW w:w="3401" w:type="dxa"/>
            <w:vAlign w:val="center"/>
          </w:tcPr>
          <w:p w14:paraId="5E472F50" w14:textId="77777777" w:rsidR="00EB5521" w:rsidRPr="00FD7040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 1</w:t>
            </w:r>
            <w:r w:rsidR="00FD7040">
              <w:rPr>
                <w:rFonts w:ascii="Times New Roman" w:cs="Times New Roman"/>
                <w:sz w:val="20"/>
                <w:szCs w:val="20"/>
              </w:rPr>
              <w:t>.</w:t>
            </w:r>
            <w:r w:rsidRPr="00FD7040">
              <w:rPr>
                <w:rFonts w:ascii="Times New Roman" w:cs="Times New Roman"/>
                <w:sz w:val="20"/>
                <w:szCs w:val="20"/>
              </w:rPr>
              <w:t xml:space="preserve"> </w:t>
            </w:r>
          </w:p>
          <w:p w14:paraId="6BEEFA75" w14:textId="77777777" w:rsidR="00EB5521" w:rsidRPr="00DB6F2C" w:rsidRDefault="007D68FC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Організація здійснення поховань (перепоховань у випадку встановлення особи) невпізнаних тіл (останків) військовослужбовців, поліцейських, які загинули (померли) внаслідок збройної агресії проти України</w:t>
            </w:r>
          </w:p>
        </w:tc>
        <w:tc>
          <w:tcPr>
            <w:tcW w:w="3122" w:type="dxa"/>
            <w:gridSpan w:val="2"/>
            <w:vAlign w:val="center"/>
          </w:tcPr>
          <w:p w14:paraId="4A0B5802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Затрат: </w:t>
            </w:r>
          </w:p>
          <w:p w14:paraId="303C2828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- обсяг фінансового ресурсу</w:t>
            </w:r>
          </w:p>
          <w:p w14:paraId="0EDD61CC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Продукту:</w:t>
            </w:r>
          </w:p>
          <w:p w14:paraId="5DFD8BBA" w14:textId="5AFCD91E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очікувана кількість – </w:t>
            </w:r>
            <w:r w:rsidR="00F80B09">
              <w:rPr>
                <w:rFonts w:ascii="Times New Roman" w:cs="Times New Roman"/>
                <w:sz w:val="20"/>
                <w:szCs w:val="20"/>
              </w:rPr>
              <w:t>400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 осіб</w:t>
            </w:r>
            <w:r w:rsidR="007D68FC" w:rsidRPr="00DB6F2C">
              <w:rPr>
                <w:rFonts w:ascii="Times New Roman" w:cs="Times New Roman"/>
                <w:sz w:val="20"/>
                <w:szCs w:val="20"/>
              </w:rPr>
              <w:t xml:space="preserve"> поховань</w:t>
            </w:r>
          </w:p>
          <w:p w14:paraId="62E63662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Ефективності:</w:t>
            </w:r>
          </w:p>
          <w:p w14:paraId="34C1494F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середній розмір  </w:t>
            </w:r>
            <w:r w:rsidR="007D68FC" w:rsidRPr="00DB6F2C">
              <w:rPr>
                <w:rFonts w:ascii="Times New Roman" w:cs="Times New Roman"/>
                <w:sz w:val="20"/>
                <w:szCs w:val="20"/>
              </w:rPr>
              <w:t>відшкодування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 – </w:t>
            </w:r>
            <w:r w:rsidR="00BB3FFF">
              <w:rPr>
                <w:rFonts w:ascii="Times New Roman" w:cs="Times New Roman"/>
                <w:sz w:val="20"/>
                <w:szCs w:val="20"/>
              </w:rPr>
              <w:t>12836</w:t>
            </w:r>
            <w:r w:rsidR="007D68FC" w:rsidRPr="00DB6F2C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грн / 1 </w:t>
            </w:r>
            <w:r w:rsidR="007D68FC" w:rsidRPr="00DB6F2C">
              <w:rPr>
                <w:rFonts w:ascii="Times New Roman" w:cs="Times New Roman"/>
                <w:sz w:val="20"/>
                <w:szCs w:val="20"/>
              </w:rPr>
              <w:t>поховання</w:t>
            </w:r>
            <w:r w:rsidR="00EE7947">
              <w:rPr>
                <w:rFonts w:ascii="Times New Roman" w:cs="Times New Roman"/>
                <w:sz w:val="20"/>
                <w:szCs w:val="20"/>
              </w:rPr>
              <w:t xml:space="preserve"> ( в межах 4-х прожиткових) </w:t>
            </w:r>
          </w:p>
          <w:p w14:paraId="76263144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Якості:</w:t>
            </w:r>
          </w:p>
          <w:p w14:paraId="323CE82D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- 100% забезпечення </w:t>
            </w:r>
            <w:r w:rsidR="007D68FC" w:rsidRPr="00DB6F2C">
              <w:rPr>
                <w:rFonts w:ascii="Times New Roman" w:cs="Times New Roman"/>
                <w:sz w:val="20"/>
                <w:szCs w:val="20"/>
              </w:rPr>
              <w:t>поховання</w:t>
            </w:r>
          </w:p>
          <w:p w14:paraId="65A3E488" w14:textId="77777777" w:rsidR="00EB5521" w:rsidRPr="00DB6F2C" w:rsidRDefault="00EB5521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562" w:type="dxa"/>
            <w:vAlign w:val="center"/>
          </w:tcPr>
          <w:p w14:paraId="5B831B9B" w14:textId="77777777" w:rsidR="00EB5521" w:rsidRPr="00DB6F2C" w:rsidRDefault="00830E96" w:rsidP="006326E5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</w:t>
            </w:r>
            <w:r w:rsidR="00114719" w:rsidRPr="00DB6F2C">
              <w:rPr>
                <w:rFonts w:ascii="Times New Roman" w:cs="Times New Roman"/>
                <w:sz w:val="20"/>
                <w:szCs w:val="20"/>
              </w:rPr>
              <w:t xml:space="preserve">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4FC70038" w14:textId="77777777" w:rsidR="00EB5521" w:rsidRPr="00DB6F2C" w:rsidRDefault="002C528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560" w:type="dxa"/>
            <w:vAlign w:val="center"/>
          </w:tcPr>
          <w:p w14:paraId="2060484D" w14:textId="5D99CDC9" w:rsidR="00EB5521" w:rsidRPr="00DB6F2C" w:rsidRDefault="00F80B09" w:rsidP="00FD7040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5134,40</w:t>
            </w:r>
          </w:p>
        </w:tc>
        <w:tc>
          <w:tcPr>
            <w:tcW w:w="1955" w:type="dxa"/>
            <w:vAlign w:val="center"/>
          </w:tcPr>
          <w:p w14:paraId="28C2714A" w14:textId="77777777" w:rsidR="007D68FC" w:rsidRPr="00DB6F2C" w:rsidRDefault="007D68F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14:paraId="4680EA04" w14:textId="77777777" w:rsidR="00EB5521" w:rsidRPr="00DB6F2C" w:rsidRDefault="007D68F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Гідне вшанування пам’яті загиблих, забезпечення поховань із військовими почестями.</w:t>
            </w:r>
            <w:r w:rsidR="002C5281" w:rsidRPr="00DB6F2C">
              <w:rPr>
                <w:rFonts w:ascii="Times New Roman" w:cs="Times New Roman"/>
                <w:sz w:val="20"/>
                <w:szCs w:val="20"/>
              </w:rPr>
              <w:t xml:space="preserve"> на території Львівської області</w:t>
            </w:r>
          </w:p>
          <w:p w14:paraId="5A9E75E4" w14:textId="77777777" w:rsidR="007F51AC" w:rsidRPr="00DB6F2C" w:rsidRDefault="007F51A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14:paraId="0C1D8EE3" w14:textId="77777777" w:rsidR="007F51AC" w:rsidRPr="00DB6F2C" w:rsidRDefault="007F51A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14:paraId="64FF52E2" w14:textId="77777777" w:rsidR="007F51AC" w:rsidRPr="00DB6F2C" w:rsidRDefault="007F51A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  <w:p w14:paraId="321B9FB0" w14:textId="77777777" w:rsidR="007F51AC" w:rsidRPr="00DB6F2C" w:rsidRDefault="007F51A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EB5521" w:rsidRPr="00DB6F2C" w14:paraId="224B31C0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275DB6B1" w14:textId="77777777" w:rsidR="00EB5521" w:rsidRPr="00DB6F2C" w:rsidRDefault="002C528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 w:rsidRPr="00DB6F2C">
              <w:rPr>
                <w:rFonts w:asci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2389" w:type="dxa"/>
            <w:vAlign w:val="center"/>
          </w:tcPr>
          <w:p w14:paraId="51366DCE" w14:textId="77777777" w:rsidR="00EB5521" w:rsidRPr="00FD7040" w:rsidRDefault="002C5281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Завдання 2</w:t>
            </w:r>
            <w:r w:rsidR="00B20AED"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301F58F2" w14:textId="77777777" w:rsidR="00EB5521" w:rsidRPr="00DB6F2C" w:rsidRDefault="007D68FC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Підвищення кваліфікації  фахівців із супроводу ветеранів, працівників, на які покладено функції із реалізації ветеранської політики</w:t>
            </w:r>
          </w:p>
        </w:tc>
        <w:tc>
          <w:tcPr>
            <w:tcW w:w="3401" w:type="dxa"/>
            <w:vAlign w:val="center"/>
          </w:tcPr>
          <w:p w14:paraId="3DA3FEFA" w14:textId="3397AC52" w:rsidR="00EB5521" w:rsidRPr="00FD7040" w:rsidRDefault="002C5281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Захід </w:t>
            </w:r>
            <w:r w:rsidR="0042052D">
              <w:rPr>
                <w:rFonts w:ascii="Times New Roman" w:cs="Times New Roman"/>
                <w:b/>
                <w:bCs/>
                <w:sz w:val="20"/>
                <w:szCs w:val="20"/>
              </w:rPr>
              <w:t>1</w:t>
            </w:r>
            <w:r w:rsid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57798619" w14:textId="77777777" w:rsidR="00EB5521" w:rsidRPr="00DB6F2C" w:rsidRDefault="007D68FC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Підвищення рівня професійної компетентності слухачів щодо створення та реалізації місцевих політик підтримки ветеранів та дотримання реалізації їхніх прав на місцевому рівні; розробка програм розвитку і реалізації місцевих ветеранських політик.</w:t>
            </w:r>
          </w:p>
        </w:tc>
        <w:tc>
          <w:tcPr>
            <w:tcW w:w="3122" w:type="dxa"/>
            <w:gridSpan w:val="2"/>
            <w:vAlign w:val="center"/>
          </w:tcPr>
          <w:p w14:paraId="6C1A5FA5" w14:textId="77777777" w:rsidR="00EB5521" w:rsidRPr="00DB6F2C" w:rsidRDefault="002C5281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 xml:space="preserve">Затрат: </w:t>
            </w:r>
          </w:p>
          <w:p w14:paraId="4AD432BA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- обсяг фінансового ресурсу</w:t>
            </w:r>
          </w:p>
          <w:p w14:paraId="49AAF817" w14:textId="77777777" w:rsidR="00EB5521" w:rsidRPr="00DB6F2C" w:rsidRDefault="002C5281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3EFC611F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чисельність одержувачів  послуги (очікувана кількість – </w:t>
            </w:r>
            <w:r w:rsidR="00966632">
              <w:rPr>
                <w:rFonts w:ascii="Times New Roman" w:cs="Times New Roman"/>
                <w:sz w:val="20"/>
                <w:szCs w:val="20"/>
              </w:rPr>
              <w:t>96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 осіб (розраховано, що в середньому 1</w:t>
            </w:r>
            <w:r w:rsidR="00B15192" w:rsidRPr="00DB6F2C">
              <w:rPr>
                <w:rFonts w:ascii="Times New Roman" w:cs="Times New Roman"/>
                <w:sz w:val="20"/>
                <w:szCs w:val="20"/>
              </w:rPr>
              <w:t>-2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 людина </w:t>
            </w:r>
            <w:r w:rsidR="00B15192" w:rsidRPr="00DB6F2C">
              <w:rPr>
                <w:rFonts w:ascii="Times New Roman" w:cs="Times New Roman"/>
                <w:sz w:val="20"/>
                <w:szCs w:val="20"/>
              </w:rPr>
              <w:t xml:space="preserve">з 15 громад </w:t>
            </w:r>
            <w:r w:rsidRPr="00DB6F2C">
              <w:rPr>
                <w:rFonts w:ascii="Times New Roman" w:cs="Times New Roman"/>
                <w:sz w:val="20"/>
                <w:szCs w:val="20"/>
              </w:rPr>
              <w:t>пройде</w:t>
            </w:r>
            <w:r w:rsidR="00B15192" w:rsidRPr="00DB6F2C">
              <w:rPr>
                <w:rFonts w:ascii="Times New Roman" w:cs="Times New Roman"/>
                <w:sz w:val="20"/>
                <w:szCs w:val="20"/>
              </w:rPr>
              <w:t xml:space="preserve"> 3-х місячний 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курс </w:t>
            </w:r>
            <w:r w:rsidR="00B15192" w:rsidRPr="00DB6F2C">
              <w:rPr>
                <w:rFonts w:ascii="Times New Roman" w:cs="Times New Roman"/>
                <w:sz w:val="20"/>
                <w:szCs w:val="20"/>
              </w:rPr>
              <w:t>підвищення кваліфікації</w:t>
            </w:r>
            <w:r w:rsidR="00966632">
              <w:rPr>
                <w:rFonts w:ascii="Times New Roman" w:cs="Times New Roman"/>
                <w:sz w:val="20"/>
                <w:szCs w:val="20"/>
              </w:rPr>
              <w:t>, враховуючи, що 2 дні в тиждень вихідні</w:t>
            </w:r>
            <w:r w:rsidRPr="00DB6F2C">
              <w:rPr>
                <w:rFonts w:ascii="Times New Roman" w:cs="Times New Roman"/>
                <w:sz w:val="20"/>
                <w:szCs w:val="20"/>
              </w:rPr>
              <w:t>)</w:t>
            </w:r>
          </w:p>
          <w:p w14:paraId="7326C923" w14:textId="77777777" w:rsidR="00EB5521" w:rsidRPr="00DB6F2C" w:rsidRDefault="002C5281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31FF2C9E" w14:textId="77777777" w:rsidR="00EB5521" w:rsidRPr="00144B9D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144B9D">
              <w:rPr>
                <w:rFonts w:ascii="Times New Roman" w:cs="Times New Roman"/>
                <w:sz w:val="20"/>
                <w:szCs w:val="20"/>
              </w:rPr>
              <w:t xml:space="preserve">- </w:t>
            </w:r>
            <w:r w:rsidR="00160B46" w:rsidRPr="00144B9D">
              <w:rPr>
                <w:rFonts w:ascii="Times New Roman" w:cs="Times New Roman"/>
                <w:sz w:val="20"/>
                <w:szCs w:val="20"/>
              </w:rPr>
              <w:t>середня вартість підвищення кваліфікації 1 фахівця- 52083 грн.</w:t>
            </w:r>
          </w:p>
          <w:p w14:paraId="255F6844" w14:textId="77777777" w:rsidR="00EB5521" w:rsidRPr="00DB6F2C" w:rsidRDefault="002C5281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144B9D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582FBB63" w14:textId="77777777" w:rsidR="00EB5521" w:rsidRPr="00DB6F2C" w:rsidRDefault="002C5281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- 100% забезпечення </w:t>
            </w:r>
            <w:r w:rsidR="00B15192" w:rsidRPr="00DB6F2C">
              <w:rPr>
                <w:rFonts w:ascii="Times New Roman" w:cs="Times New Roman"/>
                <w:sz w:val="20"/>
                <w:szCs w:val="20"/>
              </w:rPr>
              <w:t>навчальною послугою</w:t>
            </w:r>
          </w:p>
        </w:tc>
        <w:tc>
          <w:tcPr>
            <w:tcW w:w="1562" w:type="dxa"/>
            <w:vAlign w:val="center"/>
          </w:tcPr>
          <w:p w14:paraId="3A34B821" w14:textId="77777777" w:rsidR="00EB5521" w:rsidRPr="00DB6F2C" w:rsidRDefault="00830E96" w:rsidP="005C34D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</w:t>
            </w:r>
            <w:r w:rsidR="00114719" w:rsidRPr="00DB6F2C">
              <w:rPr>
                <w:rFonts w:ascii="Times New Roman" w:cs="Times New Roman"/>
                <w:sz w:val="20"/>
                <w:szCs w:val="20"/>
              </w:rPr>
              <w:t xml:space="preserve">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1388AACC" w14:textId="77777777" w:rsidR="00EB5521" w:rsidRPr="00DB6F2C" w:rsidRDefault="00B1519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7D0D21A8" w14:textId="77777777" w:rsidR="00EB5521" w:rsidRPr="00FD7040" w:rsidRDefault="00FE6E10" w:rsidP="00FE6E10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5000,00</w:t>
            </w:r>
          </w:p>
        </w:tc>
        <w:tc>
          <w:tcPr>
            <w:tcW w:w="1955" w:type="dxa"/>
            <w:vAlign w:val="center"/>
          </w:tcPr>
          <w:p w14:paraId="7BD12A28" w14:textId="77777777" w:rsidR="00EB5521" w:rsidRPr="00DB6F2C" w:rsidRDefault="00B1519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Набуття знань та навичок з формування та реалізації місцевих політик для адаптації, реінтеграції,  супроводу та підтримки ветеранів на рівні місцевого самоврядування.</w:t>
            </w:r>
          </w:p>
        </w:tc>
      </w:tr>
      <w:tr w:rsidR="00EB5521" w14:paraId="630838DC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0B04CAA2" w14:textId="54F600D4" w:rsidR="00EB5521" w:rsidRPr="00DB6F2C" w:rsidRDefault="00144B9D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lastRenderedPageBreak/>
              <w:t>3</w:t>
            </w:r>
            <w:r w:rsidR="002C5281" w:rsidRPr="00DB6F2C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51DE6F5C" w14:textId="6E8F771F" w:rsidR="00FD7040" w:rsidRPr="00FD7040" w:rsidRDefault="002C5281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144B9D">
              <w:rPr>
                <w:rFonts w:ascii="Times New Roman" w:cs="Times New Roman"/>
                <w:b/>
                <w:bCs/>
                <w:sz w:val="20"/>
                <w:szCs w:val="20"/>
              </w:rPr>
              <w:t>3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5D62F356" w14:textId="77777777" w:rsidR="00EB5521" w:rsidRPr="00DB6F2C" w:rsidRDefault="00F90FAC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Здійснення к</w:t>
            </w:r>
            <w:r w:rsidR="00B20AED" w:rsidRPr="00DB6F2C">
              <w:rPr>
                <w:rFonts w:ascii="Times New Roman" w:cs="Times New Roman"/>
                <w:sz w:val="20"/>
                <w:szCs w:val="20"/>
              </w:rPr>
              <w:t>омпенсаці</w:t>
            </w:r>
            <w:r>
              <w:rPr>
                <w:rFonts w:ascii="Times New Roman" w:cs="Times New Roman"/>
                <w:sz w:val="20"/>
                <w:szCs w:val="20"/>
              </w:rPr>
              <w:t>ї</w:t>
            </w:r>
            <w:r w:rsidR="00B20AED" w:rsidRPr="00DB6F2C">
              <w:rPr>
                <w:rFonts w:ascii="Times New Roman" w:cs="Times New Roman"/>
                <w:sz w:val="20"/>
                <w:szCs w:val="20"/>
              </w:rPr>
              <w:t xml:space="preserve"> витрат за надані абілітаційні послуги</w:t>
            </w:r>
            <w:r w:rsidR="00D84571">
              <w:rPr>
                <w:rFonts w:ascii="Times New Roman" w:cs="Times New Roman"/>
                <w:sz w:val="20"/>
                <w:szCs w:val="20"/>
              </w:rPr>
              <w:t xml:space="preserve"> ветеранам</w:t>
            </w:r>
            <w:r>
              <w:rPr>
                <w:rFonts w:asci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1" w:type="dxa"/>
            <w:vAlign w:val="center"/>
          </w:tcPr>
          <w:p w14:paraId="381E1F0E" w14:textId="77777777" w:rsidR="00EB5521" w:rsidRPr="00FD7040" w:rsidRDefault="002C5281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 1</w:t>
            </w:r>
            <w:r w:rsid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769A3CBE" w14:textId="77777777" w:rsidR="00EB5521" w:rsidRPr="00DB6F2C" w:rsidRDefault="002C6A11">
            <w:pPr>
              <w:rPr>
                <w:rFonts w:ascii="Times New Roman" w:cs="Times New Roman"/>
                <w:sz w:val="20"/>
                <w:szCs w:val="20"/>
              </w:rPr>
            </w:pPr>
            <w:r w:rsidRPr="002C6A11">
              <w:rPr>
                <w:rFonts w:ascii="Times New Roman" w:cs="Times New Roman"/>
                <w:color w:val="000000"/>
                <w:sz w:val="20"/>
                <w:szCs w:val="20"/>
              </w:rPr>
              <w:t xml:space="preserve">Компенсація витрат за надані абілітаційні послуги </w:t>
            </w:r>
            <w:r w:rsidR="00D84571">
              <w:rPr>
                <w:rFonts w:ascii="Times New Roman" w:cs="Times New Roman"/>
                <w:color w:val="000000"/>
                <w:sz w:val="20"/>
                <w:szCs w:val="20"/>
              </w:rPr>
              <w:t xml:space="preserve">ветеранам </w:t>
            </w:r>
            <w:r w:rsidRPr="002C6A11">
              <w:rPr>
                <w:rFonts w:ascii="Times New Roman" w:cs="Times New Roman"/>
                <w:color w:val="000000"/>
                <w:sz w:val="20"/>
                <w:szCs w:val="20"/>
              </w:rPr>
              <w:t>на умовах співфінансування з громадами.</w:t>
            </w:r>
          </w:p>
        </w:tc>
        <w:tc>
          <w:tcPr>
            <w:tcW w:w="3122" w:type="dxa"/>
            <w:gridSpan w:val="2"/>
            <w:vAlign w:val="center"/>
          </w:tcPr>
          <w:p w14:paraId="16192B01" w14:textId="77777777" w:rsidR="00B20AED" w:rsidRPr="00DB6F2C" w:rsidRDefault="00B20AED" w:rsidP="00B20AE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 xml:space="preserve">Затрат: </w:t>
            </w:r>
          </w:p>
          <w:p w14:paraId="5E938114" w14:textId="77777777" w:rsidR="00B20AED" w:rsidRPr="00DB6F2C" w:rsidRDefault="00B20AED" w:rsidP="00B20AED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- обсяг фінансового ресурсу</w:t>
            </w:r>
          </w:p>
          <w:p w14:paraId="5BCBD38D" w14:textId="77777777" w:rsidR="00B20AED" w:rsidRPr="00DB6F2C" w:rsidRDefault="00B20AED" w:rsidP="00B20AE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357FA8A8" w14:textId="11400A16" w:rsidR="00B20AED" w:rsidRPr="00DB6F2C" w:rsidRDefault="00B20AED" w:rsidP="00B20AED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чисельність одержувачів  послуги (очікувана кількість – </w:t>
            </w:r>
            <w:r w:rsidR="000C3422">
              <w:rPr>
                <w:rFonts w:ascii="Times New Roman" w:cs="Times New Roman"/>
                <w:sz w:val="20"/>
                <w:szCs w:val="20"/>
              </w:rPr>
              <w:t>1</w:t>
            </w:r>
            <w:r w:rsidR="00144B9D">
              <w:rPr>
                <w:rFonts w:ascii="Times New Roman" w:cs="Times New Roman"/>
                <w:sz w:val="20"/>
                <w:szCs w:val="20"/>
              </w:rPr>
              <w:t>7</w:t>
            </w:r>
            <w:r w:rsidR="000C3422">
              <w:rPr>
                <w:rFonts w:ascii="Times New Roman" w:cs="Times New Roman"/>
                <w:sz w:val="20"/>
                <w:szCs w:val="20"/>
              </w:rPr>
              <w:t>0</w:t>
            </w:r>
            <w:r w:rsidRPr="00DB6F2C">
              <w:rPr>
                <w:rFonts w:ascii="Times New Roman" w:cs="Times New Roman"/>
                <w:sz w:val="20"/>
                <w:szCs w:val="20"/>
              </w:rPr>
              <w:t xml:space="preserve"> осіб)</w:t>
            </w:r>
          </w:p>
          <w:p w14:paraId="7D76061A" w14:textId="77777777" w:rsidR="00B20AED" w:rsidRPr="00DB6F2C" w:rsidRDefault="00B20AED" w:rsidP="00B20AE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33D501D1" w14:textId="77777777" w:rsidR="00B20AED" w:rsidRPr="00DB6F2C" w:rsidRDefault="00B20AED" w:rsidP="00B20AED">
            <w:pPr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середня вартість відшкодування </w:t>
            </w:r>
            <w:r w:rsidR="00C81E00">
              <w:rPr>
                <w:rFonts w:ascii="Times New Roman" w:cs="Times New Roman"/>
                <w:sz w:val="20"/>
                <w:szCs w:val="20"/>
              </w:rPr>
              <w:t>50</w:t>
            </w:r>
            <w:r w:rsidRPr="00DB6F2C">
              <w:rPr>
                <w:rFonts w:ascii="Times New Roman" w:cs="Times New Roman"/>
                <w:sz w:val="20"/>
                <w:szCs w:val="20"/>
              </w:rPr>
              <w:t>000 грн)</w:t>
            </w:r>
          </w:p>
          <w:p w14:paraId="0DB377D6" w14:textId="77777777" w:rsidR="00B20AED" w:rsidRPr="00DB6F2C" w:rsidRDefault="00B20AED" w:rsidP="00B20AE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3908F61A" w14:textId="77777777" w:rsidR="00EB5521" w:rsidRPr="00DB6F2C" w:rsidRDefault="00B20AED" w:rsidP="00B20AE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 xml:space="preserve">- 100% забезпечення </w:t>
            </w:r>
            <w:r w:rsidR="00830E96" w:rsidRPr="00DB6F2C">
              <w:rPr>
                <w:rFonts w:ascii="Times New Roman" w:cs="Times New Roman"/>
                <w:sz w:val="20"/>
                <w:szCs w:val="20"/>
              </w:rPr>
              <w:t>відшкодування</w:t>
            </w:r>
          </w:p>
        </w:tc>
        <w:tc>
          <w:tcPr>
            <w:tcW w:w="1562" w:type="dxa"/>
            <w:vAlign w:val="center"/>
          </w:tcPr>
          <w:p w14:paraId="27D6277A" w14:textId="77777777" w:rsidR="00EB5521" w:rsidRPr="00DB6F2C" w:rsidRDefault="00830E96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</w:t>
            </w:r>
            <w:r w:rsidR="00114719" w:rsidRPr="00DB6F2C">
              <w:rPr>
                <w:rFonts w:ascii="Times New Roman" w:cs="Times New Roman"/>
                <w:sz w:val="20"/>
                <w:szCs w:val="20"/>
              </w:rPr>
              <w:t xml:space="preserve">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5DB5399A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  <w:p w14:paraId="0C6FB153" w14:textId="77777777" w:rsidR="00EB5521" w:rsidRPr="00DB6F2C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Місцеві бюджети</w:t>
            </w:r>
            <w:r w:rsidR="00574347" w:rsidRPr="00DB6F2C">
              <w:rPr>
                <w:rFonts w:ascii="Times New Roman" w:cs="Times New Roman"/>
                <w:sz w:val="20"/>
                <w:szCs w:val="20"/>
              </w:rPr>
              <w:t>, інші джерела, не заборонені законодавством</w:t>
            </w:r>
          </w:p>
        </w:tc>
        <w:tc>
          <w:tcPr>
            <w:tcW w:w="1560" w:type="dxa"/>
            <w:vAlign w:val="center"/>
          </w:tcPr>
          <w:p w14:paraId="33F2719A" w14:textId="16FF7AF4" w:rsidR="00EB5521" w:rsidRPr="00DB6F2C" w:rsidRDefault="00144B9D" w:rsidP="000617CD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</w:t>
            </w:r>
            <w:r w:rsidR="000C3422">
              <w:rPr>
                <w:rFonts w:ascii="Times New Roman" w:cs="Times New Roman"/>
                <w:sz w:val="20"/>
                <w:szCs w:val="20"/>
              </w:rPr>
              <w:t>500</w:t>
            </w:r>
            <w:r w:rsidR="00C81E00">
              <w:rPr>
                <w:rFonts w:asci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55" w:type="dxa"/>
            <w:vAlign w:val="center"/>
          </w:tcPr>
          <w:p w14:paraId="76FD007A" w14:textId="77777777" w:rsidR="00EB5521" w:rsidRDefault="00830E96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B6F2C">
              <w:rPr>
                <w:rFonts w:ascii="Times New Roman" w:cs="Times New Roman"/>
                <w:sz w:val="20"/>
                <w:szCs w:val="20"/>
              </w:rPr>
              <w:t>Підвищення рівня соціальної адаптації, що сприяє поверненню до активного життя ветеранів.</w:t>
            </w:r>
          </w:p>
        </w:tc>
      </w:tr>
      <w:tr w:rsidR="0081118D" w14:paraId="59570DF4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4D7A4988" w14:textId="559D476D" w:rsidR="0081118D" w:rsidRPr="00774224" w:rsidRDefault="004D4646">
            <w:pPr>
              <w:jc w:val="center"/>
              <w:rPr>
                <w:rFonts w:asci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4</w:t>
            </w:r>
            <w:r w:rsidR="0081118D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6763B8AD" w14:textId="1C9B9E31" w:rsidR="0081118D" w:rsidRPr="00FD7040" w:rsidRDefault="0081118D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4D4646">
              <w:rPr>
                <w:rFonts w:ascii="Times New Roman" w:cs="Times New Roman"/>
                <w:b/>
                <w:bCs/>
                <w:sz w:val="20"/>
                <w:szCs w:val="20"/>
              </w:rPr>
              <w:t>4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77B0AF9E" w14:textId="77777777" w:rsidR="0081118D" w:rsidRPr="00DB6F2C" w:rsidRDefault="0081118D" w:rsidP="0081118D">
            <w:pPr>
              <w:rPr>
                <w:rFonts w:ascii="Times New Roman" w:cs="Times New Roman"/>
                <w:sz w:val="20"/>
                <w:szCs w:val="20"/>
              </w:rPr>
            </w:pPr>
            <w:r w:rsidRPr="0081118D">
              <w:rPr>
                <w:rFonts w:ascii="Times New Roman" w:cs="Times New Roman"/>
                <w:sz w:val="20"/>
                <w:szCs w:val="20"/>
              </w:rPr>
              <w:t>Придбання житла для  деяких категорій осіб з числа Захисників та Захисниць України, членів сімей  Героїв Небесної Сотні на умовах співфінансування</w:t>
            </w:r>
          </w:p>
        </w:tc>
        <w:tc>
          <w:tcPr>
            <w:tcW w:w="3401" w:type="dxa"/>
            <w:vAlign w:val="center"/>
          </w:tcPr>
          <w:p w14:paraId="504E3A62" w14:textId="77777777" w:rsidR="00774224" w:rsidRPr="00FD7040" w:rsidRDefault="00774224" w:rsidP="0077422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 1.</w:t>
            </w:r>
          </w:p>
          <w:p w14:paraId="64229059" w14:textId="77777777" w:rsidR="0081118D" w:rsidRPr="00DB6F2C" w:rsidRDefault="00774224" w:rsidP="00774224">
            <w:pPr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Придбання житла для  деяких категорій осіб з числа Захисників та Захисниць України, членів сімей  Героїв Небесної Сотні на умовах співфінансування</w:t>
            </w:r>
          </w:p>
        </w:tc>
        <w:tc>
          <w:tcPr>
            <w:tcW w:w="3122" w:type="dxa"/>
            <w:gridSpan w:val="2"/>
            <w:vAlign w:val="center"/>
          </w:tcPr>
          <w:p w14:paraId="1D08A2DE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Затрат:</w:t>
            </w:r>
          </w:p>
          <w:p w14:paraId="6F5CCDC7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- обсяг фінансового ресурсу</w:t>
            </w:r>
          </w:p>
          <w:p w14:paraId="564F2ECC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36C32A57" w14:textId="31FB67AB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- кількість ветеранів, осіб з інвалідністю внаслідок війни та родин Героїв Небесної Сотні, що потребують житла</w:t>
            </w:r>
            <w:r w:rsidR="00E34E32">
              <w:rPr>
                <w:rFonts w:ascii="Times New Roman" w:cs="Times New Roman"/>
                <w:i/>
                <w:sz w:val="20"/>
                <w:szCs w:val="20"/>
              </w:rPr>
              <w:t xml:space="preserve"> 20 осіб</w:t>
            </w:r>
          </w:p>
          <w:p w14:paraId="783C2A76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3735EF6C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 xml:space="preserve">- очікувана кількість придбаного житла на умовах співфінансування – </w:t>
            </w:r>
          </w:p>
          <w:p w14:paraId="2B2ED422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1</w:t>
            </w:r>
            <w:r w:rsidR="00DD3412">
              <w:rPr>
                <w:rFonts w:ascii="Times New Roman" w:cs="Times New Roman"/>
                <w:i/>
                <w:sz w:val="20"/>
                <w:szCs w:val="20"/>
              </w:rPr>
              <w:t>2</w:t>
            </w:r>
            <w:r w:rsidRPr="00774224">
              <w:rPr>
                <w:rFonts w:ascii="Times New Roman" w:cs="Times New Roman"/>
                <w:i/>
                <w:sz w:val="20"/>
                <w:szCs w:val="20"/>
              </w:rPr>
              <w:t>; середня вартість житла-</w:t>
            </w:r>
            <w:r w:rsidR="00DD3412">
              <w:rPr>
                <w:rFonts w:ascii="Times New Roman" w:cs="Times New Roman"/>
                <w:i/>
                <w:sz w:val="20"/>
                <w:szCs w:val="20"/>
              </w:rPr>
              <w:t>666</w:t>
            </w:r>
            <w:r w:rsidRPr="00774224">
              <w:rPr>
                <w:rFonts w:ascii="Times New Roman" w:cs="Times New Roman"/>
                <w:i/>
                <w:sz w:val="20"/>
                <w:szCs w:val="20"/>
              </w:rPr>
              <w:t>,</w:t>
            </w:r>
            <w:r w:rsidR="00DD3412">
              <w:rPr>
                <w:rFonts w:ascii="Times New Roman" w:cs="Times New Roman"/>
                <w:i/>
                <w:sz w:val="20"/>
                <w:szCs w:val="20"/>
              </w:rPr>
              <w:t>66</w:t>
            </w:r>
            <w:r w:rsidRPr="00774224">
              <w:rPr>
                <w:rFonts w:ascii="Times New Roman" w:cs="Times New Roman"/>
                <w:i/>
                <w:sz w:val="20"/>
                <w:szCs w:val="20"/>
              </w:rPr>
              <w:t xml:space="preserve"> тис. грн.</w:t>
            </w:r>
          </w:p>
          <w:p w14:paraId="3E8CE448" w14:textId="77777777" w:rsidR="00774224" w:rsidRPr="00774224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3E1E8662" w14:textId="30E7A951" w:rsidR="0081118D" w:rsidRPr="00DB6F2C" w:rsidRDefault="00774224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774224">
              <w:rPr>
                <w:rFonts w:ascii="Times New Roman" w:cs="Times New Roman"/>
                <w:i/>
                <w:sz w:val="20"/>
                <w:szCs w:val="20"/>
              </w:rPr>
              <w:t xml:space="preserve">- </w:t>
            </w:r>
            <w:r w:rsidR="00E34E32">
              <w:rPr>
                <w:rFonts w:ascii="Times New Roman" w:cs="Times New Roman"/>
                <w:i/>
                <w:sz w:val="20"/>
                <w:szCs w:val="20"/>
              </w:rPr>
              <w:t>60</w:t>
            </w:r>
            <w:r w:rsidRPr="00774224">
              <w:rPr>
                <w:rFonts w:ascii="Times New Roman" w:cs="Times New Roman"/>
                <w:i/>
                <w:sz w:val="20"/>
                <w:szCs w:val="20"/>
              </w:rPr>
              <w:t>% забезпечення житлом</w:t>
            </w:r>
          </w:p>
        </w:tc>
        <w:tc>
          <w:tcPr>
            <w:tcW w:w="1562" w:type="dxa"/>
            <w:vAlign w:val="center"/>
          </w:tcPr>
          <w:p w14:paraId="34162A7B" w14:textId="77777777" w:rsidR="0081118D" w:rsidRPr="00DB6F2C" w:rsidRDefault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51687218" w14:textId="77777777" w:rsidR="00774224" w:rsidRPr="00774224" w:rsidRDefault="00774224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  <w:p w14:paraId="2EEDF283" w14:textId="77777777" w:rsidR="0081118D" w:rsidRPr="00DB6F2C" w:rsidRDefault="00774224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Місцеві бюджети, інші джерела, не заборонені законодавством</w:t>
            </w:r>
          </w:p>
        </w:tc>
        <w:tc>
          <w:tcPr>
            <w:tcW w:w="1560" w:type="dxa"/>
            <w:vAlign w:val="center"/>
          </w:tcPr>
          <w:p w14:paraId="797D65BA" w14:textId="77777777" w:rsidR="0081118D" w:rsidRPr="00DB6F2C" w:rsidRDefault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1955" w:type="dxa"/>
            <w:vAlign w:val="center"/>
          </w:tcPr>
          <w:p w14:paraId="5AB47E1D" w14:textId="77777777" w:rsidR="0081118D" w:rsidRPr="00DB6F2C" w:rsidRDefault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774224">
              <w:rPr>
                <w:rFonts w:ascii="Times New Roman" w:cs="Times New Roman"/>
                <w:sz w:val="20"/>
                <w:szCs w:val="20"/>
              </w:rPr>
              <w:t>Забезпечення житлом ветеранів, осіб з інвалідністю внаслідок війни та родин Героїв Небесної Сотні</w:t>
            </w:r>
          </w:p>
        </w:tc>
      </w:tr>
      <w:tr w:rsidR="00062490" w14:paraId="2F355BD1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7BBF274C" w14:textId="2A82782D" w:rsidR="00062490" w:rsidRDefault="004D4646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lastRenderedPageBreak/>
              <w:t>5</w:t>
            </w:r>
            <w:r w:rsidR="00062490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6F5390C2" w14:textId="13FE5C4B" w:rsidR="00062490" w:rsidRPr="00FD7040" w:rsidRDefault="00062490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4D4646">
              <w:rPr>
                <w:rFonts w:ascii="Times New Roman" w:cs="Times New Roman"/>
                <w:b/>
                <w:bCs/>
                <w:sz w:val="20"/>
                <w:szCs w:val="20"/>
              </w:rPr>
              <w:t>5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. </w:t>
            </w:r>
          </w:p>
          <w:p w14:paraId="73E54FF2" w14:textId="77777777" w:rsidR="00062490" w:rsidRPr="0081118D" w:rsidRDefault="00062490" w:rsidP="0081118D">
            <w:pPr>
              <w:rPr>
                <w:rFonts w:ascii="Times New Roman" w:cs="Times New Roman"/>
                <w:sz w:val="20"/>
                <w:szCs w:val="20"/>
              </w:rPr>
            </w:pPr>
            <w:r w:rsidRPr="00062490">
              <w:rPr>
                <w:rFonts w:ascii="Times New Roman" w:cs="Times New Roman"/>
                <w:sz w:val="20"/>
                <w:szCs w:val="20"/>
              </w:rPr>
              <w:t>Надання і виплата одноразової грошової допомоги на / за встановлення пам’ятних знаків на могилах загиблих (померлих ) Захисників та Захисниць України, ветеранів війни,  бійців-добровольців АТО, постраждалих учасників Революції Гідності</w:t>
            </w:r>
          </w:p>
        </w:tc>
        <w:tc>
          <w:tcPr>
            <w:tcW w:w="3401" w:type="dxa"/>
            <w:vAlign w:val="center"/>
          </w:tcPr>
          <w:p w14:paraId="3F38DF4A" w14:textId="77777777" w:rsidR="005F6602" w:rsidRPr="00FD7040" w:rsidRDefault="005F6602" w:rsidP="005F6602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Захід1</w:t>
            </w:r>
            <w:r w:rsidR="00B94587"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03DAF4C6" w14:textId="77777777" w:rsidR="005F6602" w:rsidRPr="005F6602" w:rsidRDefault="005F6602" w:rsidP="005F6602">
            <w:pPr>
              <w:rPr>
                <w:rFonts w:ascii="Times New Roman" w:cs="Times New Roman"/>
                <w:sz w:val="20"/>
                <w:szCs w:val="20"/>
              </w:rPr>
            </w:pPr>
            <w:r w:rsidRPr="005F6602">
              <w:rPr>
                <w:rFonts w:ascii="Times New Roman" w:cs="Times New Roman"/>
                <w:sz w:val="20"/>
                <w:szCs w:val="20"/>
              </w:rPr>
              <w:t>Надання і виплата одноразової грошової допомоги на / за встановлення пам’ятних</w:t>
            </w:r>
          </w:p>
          <w:p w14:paraId="01ED1013" w14:textId="77777777" w:rsidR="00062490" w:rsidRPr="00774224" w:rsidRDefault="005F6602" w:rsidP="005F6602">
            <w:pPr>
              <w:rPr>
                <w:rFonts w:ascii="Times New Roman" w:cs="Times New Roman"/>
                <w:sz w:val="20"/>
                <w:szCs w:val="20"/>
              </w:rPr>
            </w:pPr>
            <w:r w:rsidRPr="005F6602">
              <w:rPr>
                <w:rFonts w:ascii="Times New Roman" w:cs="Times New Roman"/>
                <w:sz w:val="20"/>
                <w:szCs w:val="20"/>
              </w:rPr>
              <w:t>знаків на могилах загиблих (померлих ) Захисників та Захисниць України, ветеранів війни, бійців-добровольців АТО, постраждалих учасників Революції Гідності</w:t>
            </w:r>
          </w:p>
        </w:tc>
        <w:tc>
          <w:tcPr>
            <w:tcW w:w="3122" w:type="dxa"/>
            <w:gridSpan w:val="2"/>
            <w:vAlign w:val="center"/>
          </w:tcPr>
          <w:p w14:paraId="7E8E4898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затрат</w:t>
            </w:r>
          </w:p>
          <w:p w14:paraId="3383E90E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- чисельність загиблих / померлих-</w:t>
            </w:r>
          </w:p>
          <w:p w14:paraId="669095FA" w14:textId="1E76FBCE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 xml:space="preserve">Продукту - чисельність одержувачів  допомоги  (очікувана кількість – </w:t>
            </w:r>
            <w:r w:rsidR="004D4646">
              <w:rPr>
                <w:rFonts w:ascii="Times New Roman" w:cs="Times New Roman"/>
                <w:i/>
                <w:sz w:val="20"/>
                <w:szCs w:val="20"/>
              </w:rPr>
              <w:t>500</w:t>
            </w:r>
            <w:r w:rsidRPr="005F6602">
              <w:rPr>
                <w:rFonts w:ascii="Times New Roman" w:cs="Times New Roman"/>
                <w:i/>
                <w:sz w:val="20"/>
                <w:szCs w:val="20"/>
              </w:rPr>
              <w:t xml:space="preserve"> осіб)</w:t>
            </w:r>
          </w:p>
          <w:p w14:paraId="53D67422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ефективності</w:t>
            </w:r>
          </w:p>
          <w:p w14:paraId="65320DCC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 xml:space="preserve"> – середній розмір  допомоги – </w:t>
            </w:r>
          </w:p>
          <w:p w14:paraId="4C4835F5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46,</w:t>
            </w:r>
            <w:r w:rsidR="00402DAC">
              <w:rPr>
                <w:rFonts w:ascii="Times New Roman" w:cs="Times New Roman"/>
                <w:i/>
                <w:sz w:val="20"/>
                <w:szCs w:val="20"/>
              </w:rPr>
              <w:t>6</w:t>
            </w:r>
            <w:r w:rsidRPr="005F6602">
              <w:rPr>
                <w:rFonts w:ascii="Times New Roman" w:cs="Times New Roman"/>
                <w:i/>
                <w:sz w:val="20"/>
                <w:szCs w:val="20"/>
              </w:rPr>
              <w:t xml:space="preserve"> тис. грн</w:t>
            </w:r>
          </w:p>
          <w:p w14:paraId="094AD299" w14:textId="77777777" w:rsidR="005F6602" w:rsidRPr="005F6602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якості</w:t>
            </w:r>
          </w:p>
          <w:p w14:paraId="167DDBDA" w14:textId="77777777" w:rsidR="00062490" w:rsidRPr="00774224" w:rsidRDefault="005F6602" w:rsidP="005F660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5F6602">
              <w:rPr>
                <w:rFonts w:ascii="Times New Roman" w:cs="Times New Roman"/>
                <w:i/>
                <w:sz w:val="20"/>
                <w:szCs w:val="20"/>
              </w:rPr>
              <w:t>- 100% забезпечення виплати допомоги</w:t>
            </w:r>
          </w:p>
        </w:tc>
        <w:tc>
          <w:tcPr>
            <w:tcW w:w="1562" w:type="dxa"/>
            <w:vAlign w:val="center"/>
          </w:tcPr>
          <w:p w14:paraId="7567EA5F" w14:textId="77777777" w:rsidR="00062490" w:rsidRPr="00774224" w:rsidRDefault="005F6602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F6602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2E9736D9" w14:textId="77777777" w:rsidR="00062490" w:rsidRPr="00774224" w:rsidRDefault="005F6602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5F6602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6300DB80" w14:textId="77777777" w:rsidR="00062490" w:rsidRDefault="004D4646" w:rsidP="00402DAC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23300,00</w:t>
            </w:r>
          </w:p>
          <w:p w14:paraId="7A1FF1E1" w14:textId="0F1DB42B" w:rsidR="004D4646" w:rsidRPr="00774224" w:rsidRDefault="004D4646" w:rsidP="00402DAC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955" w:type="dxa"/>
            <w:vAlign w:val="center"/>
          </w:tcPr>
          <w:p w14:paraId="368F36C8" w14:textId="77777777" w:rsidR="00062490" w:rsidRPr="00774224" w:rsidRDefault="00C265CE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C265CE">
              <w:rPr>
                <w:rFonts w:ascii="Times New Roman" w:cs="Times New Roman"/>
                <w:sz w:val="20"/>
                <w:szCs w:val="20"/>
              </w:rPr>
              <w:t>Одноразова адресна допомога вирішить проблеми із встановлення пам’ятних знаків на могилах загиблих</w:t>
            </w:r>
          </w:p>
        </w:tc>
      </w:tr>
      <w:tr w:rsidR="00062490" w14:paraId="016B7C31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2D102D81" w14:textId="7A5315B6" w:rsidR="00062490" w:rsidRDefault="004D4646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6</w:t>
            </w:r>
            <w:r w:rsidR="00B94587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60AE79C4" w14:textId="7EA49480" w:rsidR="00FD7040" w:rsidRDefault="00FD7040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4D4646">
              <w:rPr>
                <w:rFonts w:asci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20822E1F" w14:textId="77777777" w:rsidR="00062490" w:rsidRPr="0081118D" w:rsidRDefault="00B94587" w:rsidP="0081118D">
            <w:pPr>
              <w:rPr>
                <w:rFonts w:ascii="Times New Roman" w:cs="Times New Roman"/>
                <w:sz w:val="20"/>
                <w:szCs w:val="20"/>
              </w:rPr>
            </w:pPr>
            <w:r w:rsidRPr="00B94587">
              <w:rPr>
                <w:rFonts w:ascii="Times New Roman" w:cs="Times New Roman"/>
                <w:sz w:val="20"/>
                <w:szCs w:val="20"/>
              </w:rPr>
              <w:t>Доплата до пенсій батькам та дружинам Героїв Небесної Сотні</w:t>
            </w:r>
          </w:p>
        </w:tc>
        <w:tc>
          <w:tcPr>
            <w:tcW w:w="3401" w:type="dxa"/>
            <w:vAlign w:val="center"/>
          </w:tcPr>
          <w:p w14:paraId="3D300D8A" w14:textId="77777777" w:rsidR="00B94587" w:rsidRPr="00FD7040" w:rsidRDefault="00B94587" w:rsidP="0077422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 1.</w:t>
            </w:r>
          </w:p>
          <w:p w14:paraId="77843C66" w14:textId="77777777" w:rsidR="00062490" w:rsidRPr="00774224" w:rsidRDefault="00B94587" w:rsidP="00774224">
            <w:pPr>
              <w:rPr>
                <w:rFonts w:ascii="Times New Roman" w:cs="Times New Roman"/>
                <w:sz w:val="20"/>
                <w:szCs w:val="20"/>
              </w:rPr>
            </w:pPr>
            <w:r w:rsidRPr="00B94587">
              <w:rPr>
                <w:rFonts w:ascii="Times New Roman" w:cs="Times New Roman"/>
                <w:sz w:val="20"/>
                <w:szCs w:val="20"/>
              </w:rPr>
              <w:t>Забезпечення матеріальної підтримки батьків, дружин Героїв Небесної Сотні</w:t>
            </w:r>
          </w:p>
        </w:tc>
        <w:tc>
          <w:tcPr>
            <w:tcW w:w="3122" w:type="dxa"/>
            <w:gridSpan w:val="2"/>
            <w:vAlign w:val="center"/>
          </w:tcPr>
          <w:p w14:paraId="270E0A05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>затрат</w:t>
            </w:r>
          </w:p>
          <w:p w14:paraId="60A32A1F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>- обсяг фінансового ресурсу</w:t>
            </w:r>
          </w:p>
          <w:p w14:paraId="6E93CBF6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>продукту</w:t>
            </w:r>
          </w:p>
          <w:p w14:paraId="3704A15E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 xml:space="preserve">- чисельність одержувачів  допомоги  (очікувана кількість – </w:t>
            </w:r>
            <w:r w:rsidR="00C8574C">
              <w:rPr>
                <w:rFonts w:ascii="Times New Roman" w:cs="Times New Roman"/>
                <w:i/>
                <w:sz w:val="20"/>
                <w:szCs w:val="20"/>
              </w:rPr>
              <w:t>22</w:t>
            </w:r>
            <w:r w:rsidRPr="00B94587">
              <w:rPr>
                <w:rFonts w:ascii="Times New Roman" w:cs="Times New Roman"/>
                <w:i/>
                <w:sz w:val="20"/>
                <w:szCs w:val="20"/>
              </w:rPr>
              <w:t xml:space="preserve"> осіб)</w:t>
            </w:r>
          </w:p>
          <w:p w14:paraId="47AF5682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>ефективності</w:t>
            </w:r>
          </w:p>
          <w:p w14:paraId="2C969E62" w14:textId="77777777" w:rsidR="00B94587" w:rsidRPr="00B94587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 xml:space="preserve"> – середній розмір  доплати до пенсій в місяць – </w:t>
            </w:r>
            <w:r w:rsidR="00A51A78">
              <w:rPr>
                <w:rFonts w:ascii="Times New Roman" w:cs="Times New Roman"/>
                <w:i/>
                <w:sz w:val="20"/>
                <w:szCs w:val="20"/>
              </w:rPr>
              <w:t>9784,09</w:t>
            </w:r>
            <w:r w:rsidR="00911EBB">
              <w:rPr>
                <w:rFonts w:ascii="Times New Roman" w:cs="Times New Roman"/>
                <w:i/>
                <w:sz w:val="20"/>
                <w:szCs w:val="20"/>
              </w:rPr>
              <w:t xml:space="preserve"> </w:t>
            </w:r>
            <w:r w:rsidRPr="00B94587">
              <w:rPr>
                <w:rFonts w:ascii="Times New Roman" w:cs="Times New Roman"/>
                <w:i/>
                <w:sz w:val="20"/>
                <w:szCs w:val="20"/>
              </w:rPr>
              <w:t>грн.</w:t>
            </w:r>
          </w:p>
          <w:p w14:paraId="2946D152" w14:textId="77777777" w:rsidR="00B94587" w:rsidRPr="00B94587" w:rsidRDefault="00A51A78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>
              <w:rPr>
                <w:rFonts w:ascii="Times New Roman" w:cs="Times New Roman"/>
                <w:i/>
                <w:sz w:val="20"/>
                <w:szCs w:val="20"/>
              </w:rPr>
              <w:t>я</w:t>
            </w:r>
            <w:r w:rsidR="00B94587" w:rsidRPr="00B94587">
              <w:rPr>
                <w:rFonts w:ascii="Times New Roman" w:cs="Times New Roman"/>
                <w:i/>
                <w:sz w:val="20"/>
                <w:szCs w:val="20"/>
              </w:rPr>
              <w:t>кості</w:t>
            </w:r>
            <w:r w:rsidR="00C8574C">
              <w:rPr>
                <w:rFonts w:ascii="Times New Roman" w:cs="Times New Roman"/>
                <w:i/>
                <w:sz w:val="20"/>
                <w:szCs w:val="20"/>
              </w:rPr>
              <w:t xml:space="preserve"> </w:t>
            </w:r>
          </w:p>
          <w:p w14:paraId="1CD907B7" w14:textId="77777777" w:rsidR="00062490" w:rsidRPr="00774224" w:rsidRDefault="00B94587" w:rsidP="00B9458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B94587">
              <w:rPr>
                <w:rFonts w:ascii="Times New Roman" w:cs="Times New Roman"/>
                <w:i/>
                <w:sz w:val="20"/>
                <w:szCs w:val="20"/>
              </w:rPr>
              <w:t>- 100% забезпечення виплати допомоги</w:t>
            </w:r>
          </w:p>
        </w:tc>
        <w:tc>
          <w:tcPr>
            <w:tcW w:w="1562" w:type="dxa"/>
            <w:vAlign w:val="center"/>
          </w:tcPr>
          <w:p w14:paraId="4D09B18D" w14:textId="77777777" w:rsidR="00062490" w:rsidRPr="00774224" w:rsidRDefault="00B94587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B94587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07ED3F4C" w14:textId="77777777" w:rsidR="00062490" w:rsidRPr="00774224" w:rsidRDefault="00B94587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B94587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33A20E9E" w14:textId="77777777" w:rsidR="00062490" w:rsidRPr="00774224" w:rsidRDefault="00C8574C" w:rsidP="00911EBB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2583,00</w:t>
            </w:r>
          </w:p>
        </w:tc>
        <w:tc>
          <w:tcPr>
            <w:tcW w:w="1955" w:type="dxa"/>
            <w:vAlign w:val="center"/>
          </w:tcPr>
          <w:p w14:paraId="6B178C3A" w14:textId="77777777" w:rsidR="00062490" w:rsidRPr="00774224" w:rsidRDefault="00B94587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B94587">
              <w:rPr>
                <w:rFonts w:ascii="Times New Roman" w:cs="Times New Roman"/>
                <w:sz w:val="20"/>
                <w:szCs w:val="20"/>
              </w:rPr>
              <w:t>Покращення фінансового, матеріального стану батьків та дружин Героїв Небесної Сотні</w:t>
            </w:r>
          </w:p>
        </w:tc>
      </w:tr>
      <w:tr w:rsidR="00062490" w14:paraId="71755508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138825AA" w14:textId="5AAA71DB" w:rsidR="00062490" w:rsidRDefault="00FF20D8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7</w:t>
            </w:r>
            <w:r w:rsidR="00CB2FA4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6919B7A2" w14:textId="160A3618" w:rsidR="00FD7040" w:rsidRDefault="00FD7040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FF20D8">
              <w:rPr>
                <w:rFonts w:asci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1AA6B522" w14:textId="77777777" w:rsidR="00062490" w:rsidRPr="0081118D" w:rsidRDefault="00CB2FA4" w:rsidP="0081118D">
            <w:pPr>
              <w:rPr>
                <w:rFonts w:ascii="Times New Roman" w:cs="Times New Roman"/>
                <w:sz w:val="20"/>
                <w:szCs w:val="20"/>
              </w:rPr>
            </w:pPr>
            <w:r w:rsidRPr="00CB2FA4">
              <w:rPr>
                <w:rFonts w:ascii="Times New Roman" w:cs="Times New Roman"/>
                <w:sz w:val="20"/>
                <w:szCs w:val="20"/>
              </w:rPr>
              <w:t>Надання та виплата грошової допомоги родинам загиблих (померлих) Захисників та Захисниць України, а також родинам, родичі яких загинули (померли) під час (внаслідок) Революції Гідності</w:t>
            </w:r>
          </w:p>
        </w:tc>
        <w:tc>
          <w:tcPr>
            <w:tcW w:w="3401" w:type="dxa"/>
            <w:vAlign w:val="center"/>
          </w:tcPr>
          <w:p w14:paraId="087F8B1C" w14:textId="77777777" w:rsidR="00062490" w:rsidRPr="00FD7040" w:rsidRDefault="00CB2FA4" w:rsidP="0077422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 1.</w:t>
            </w:r>
          </w:p>
          <w:p w14:paraId="200855AA" w14:textId="77777777" w:rsidR="00CB2FA4" w:rsidRPr="00774224" w:rsidRDefault="00CB2FA4" w:rsidP="00774224">
            <w:pPr>
              <w:rPr>
                <w:rFonts w:ascii="Times New Roman" w:cs="Times New Roman"/>
                <w:sz w:val="20"/>
                <w:szCs w:val="20"/>
              </w:rPr>
            </w:pPr>
            <w:r w:rsidRPr="00CB2FA4">
              <w:rPr>
                <w:rFonts w:ascii="Times New Roman" w:cs="Times New Roman"/>
                <w:sz w:val="20"/>
                <w:szCs w:val="20"/>
              </w:rPr>
              <w:t>Забезпечення матеріальної підтримки родин загиблих (померлих) Захисників та Захисниць України, а також учасників Революції Гідності</w:t>
            </w:r>
          </w:p>
        </w:tc>
        <w:tc>
          <w:tcPr>
            <w:tcW w:w="3122" w:type="dxa"/>
            <w:gridSpan w:val="2"/>
            <w:vAlign w:val="center"/>
          </w:tcPr>
          <w:p w14:paraId="7ACB1FD7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затрат:</w:t>
            </w:r>
          </w:p>
          <w:p w14:paraId="5D916713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обсяг фінансового ресурсу</w:t>
            </w:r>
          </w:p>
          <w:p w14:paraId="2E2C3A5E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71C7E24A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кількість одержувачів допомоги –    4</w:t>
            </w:r>
            <w:r w:rsidR="00160B46">
              <w:rPr>
                <w:rFonts w:ascii="Times New Roman" w:cs="Times New Roman"/>
                <w:i/>
                <w:sz w:val="20"/>
                <w:szCs w:val="20"/>
              </w:rPr>
              <w:t>34</w:t>
            </w:r>
            <w:r w:rsidRPr="00CB2FA4">
              <w:rPr>
                <w:rFonts w:ascii="Times New Roman" w:cs="Times New Roman"/>
                <w:i/>
                <w:sz w:val="20"/>
                <w:szCs w:val="20"/>
              </w:rPr>
              <w:t xml:space="preserve">осіб </w:t>
            </w:r>
          </w:p>
          <w:p w14:paraId="1C412F4A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0BBFEDD9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середній розмір допомоги – 5 тис. грн</w:t>
            </w:r>
          </w:p>
          <w:p w14:paraId="5D1447A4" w14:textId="77777777" w:rsidR="00CB2FA4" w:rsidRPr="00CB2FA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6E0D460D" w14:textId="77777777" w:rsidR="00062490" w:rsidRPr="00774224" w:rsidRDefault="00CB2FA4" w:rsidP="00CB2FA4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CB2FA4">
              <w:rPr>
                <w:rFonts w:ascii="Times New Roman" w:cs="Times New Roman"/>
                <w:i/>
                <w:sz w:val="20"/>
                <w:szCs w:val="20"/>
              </w:rPr>
              <w:t>відсоток забезпечення виплати допомоги – 100%</w:t>
            </w:r>
          </w:p>
        </w:tc>
        <w:tc>
          <w:tcPr>
            <w:tcW w:w="1562" w:type="dxa"/>
            <w:vAlign w:val="center"/>
          </w:tcPr>
          <w:p w14:paraId="0E455B02" w14:textId="77777777" w:rsidR="00062490" w:rsidRPr="00774224" w:rsidRDefault="00CB2FA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CB2FA4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15C11FFD" w14:textId="77777777" w:rsidR="00062490" w:rsidRPr="00774224" w:rsidRDefault="00CB2FA4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CB2FA4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2CF4F298" w14:textId="77777777" w:rsidR="00062490" w:rsidRPr="00774224" w:rsidRDefault="0069098C" w:rsidP="0069098C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2172,00</w:t>
            </w:r>
          </w:p>
        </w:tc>
        <w:tc>
          <w:tcPr>
            <w:tcW w:w="1955" w:type="dxa"/>
            <w:vAlign w:val="center"/>
          </w:tcPr>
          <w:p w14:paraId="4C0B8836" w14:textId="77777777" w:rsidR="00062490" w:rsidRPr="00774224" w:rsidRDefault="00CB2FA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CB2FA4">
              <w:rPr>
                <w:rFonts w:ascii="Times New Roman" w:cs="Times New Roman"/>
                <w:sz w:val="20"/>
                <w:szCs w:val="20"/>
              </w:rPr>
              <w:t>Покращення фінансового, матеріального стану родин загиблих (померлих) Захисників та Захисниць України, а також учасників Революції Гідності</w:t>
            </w:r>
          </w:p>
        </w:tc>
      </w:tr>
      <w:tr w:rsidR="00062490" w14:paraId="1A1DAFA2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3D4C16CE" w14:textId="7BE86051" w:rsidR="00062490" w:rsidRDefault="00FF20D8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lastRenderedPageBreak/>
              <w:t>8</w:t>
            </w:r>
            <w:r w:rsidR="00DC2DE5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2B13C344" w14:textId="26E8C7F2" w:rsidR="00FD7040" w:rsidRPr="00FD7040" w:rsidRDefault="00FD7040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FF20D8">
              <w:rPr>
                <w:rFonts w:ascii="Times New Roman" w:cs="Times New Roman"/>
                <w:b/>
                <w:bCs/>
                <w:sz w:val="20"/>
                <w:szCs w:val="20"/>
              </w:rPr>
              <w:t>8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3036C6CB" w14:textId="77777777" w:rsidR="00062490" w:rsidRPr="0081118D" w:rsidRDefault="00DC2DE5" w:rsidP="0081118D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Призначення і виплата соціальної виплати дітям (пасинкам, падчеркам) загиблих (померлих) Захисників чи Захисниць України, ветеранів війни та учасників Революції Гідності</w:t>
            </w:r>
          </w:p>
        </w:tc>
        <w:tc>
          <w:tcPr>
            <w:tcW w:w="3401" w:type="dxa"/>
            <w:vAlign w:val="center"/>
          </w:tcPr>
          <w:p w14:paraId="40753156" w14:textId="77777777" w:rsidR="00E87201" w:rsidRPr="00FD7040" w:rsidRDefault="00E87201" w:rsidP="0077422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</w:t>
            </w:r>
            <w:r w:rsid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1.</w:t>
            </w:r>
          </w:p>
          <w:p w14:paraId="6AF2970B" w14:textId="77777777" w:rsidR="00062490" w:rsidRPr="00774224" w:rsidRDefault="00DC2DE5" w:rsidP="00774224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Забезпечення матеріальної підтримки родин, у яких виховуються діти (пасинки, падчерки) </w:t>
            </w:r>
            <w:r w:rsidRPr="00DC2DE5">
              <w:rPr>
                <w:rFonts w:ascii="Times New Roman" w:cs="Times New Roman"/>
                <w:sz w:val="20"/>
                <w:szCs w:val="20"/>
              </w:rPr>
              <w:t>загиблих (померлих) Захисників чи Захисниць України, ветеранів війни та учасників Революції Гідності</w:t>
            </w:r>
          </w:p>
        </w:tc>
        <w:tc>
          <w:tcPr>
            <w:tcW w:w="3122" w:type="dxa"/>
            <w:gridSpan w:val="2"/>
            <w:vAlign w:val="center"/>
          </w:tcPr>
          <w:p w14:paraId="779962ED" w14:textId="77777777" w:rsidR="00062490" w:rsidRDefault="00DC2DE5" w:rsidP="00774224">
            <w:pPr>
              <w:rPr>
                <w:rFonts w:ascii="Times New Roman" w:cs="Times New Roman"/>
                <w:i/>
                <w:sz w:val="20"/>
                <w:szCs w:val="20"/>
              </w:rPr>
            </w:pPr>
            <w:r>
              <w:rPr>
                <w:rFonts w:ascii="Times New Roman" w:cs="Times New Roman"/>
                <w:i/>
                <w:sz w:val="20"/>
                <w:szCs w:val="20"/>
              </w:rPr>
              <w:t>затрат:</w:t>
            </w:r>
          </w:p>
          <w:p w14:paraId="52750785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>
              <w:rPr>
                <w:rFonts w:ascii="Times New Roman" w:cs="Times New Roman"/>
                <w:i/>
                <w:sz w:val="20"/>
                <w:szCs w:val="20"/>
              </w:rPr>
              <w:t xml:space="preserve">обсяг </w:t>
            </w:r>
            <w:r w:rsidRPr="00051DCF">
              <w:rPr>
                <w:rFonts w:ascii="Times New Roman" w:cs="Times New Roman"/>
                <w:i/>
                <w:sz w:val="20"/>
                <w:szCs w:val="20"/>
              </w:rPr>
              <w:t>фінансового ресурсу</w:t>
            </w:r>
          </w:p>
          <w:p w14:paraId="6EAE6908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34005171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 xml:space="preserve">кількість одержувачів допомоги –   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210</w:t>
            </w:r>
            <w:r w:rsidRPr="00051DCF">
              <w:rPr>
                <w:rFonts w:ascii="Times New Roman" w:cs="Times New Roman"/>
                <w:i/>
                <w:sz w:val="20"/>
                <w:szCs w:val="20"/>
              </w:rPr>
              <w:t xml:space="preserve"> осіб </w:t>
            </w:r>
          </w:p>
          <w:p w14:paraId="0B412782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5D955654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 xml:space="preserve">середній розмір допомоги –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 xml:space="preserve">6418 </w:t>
            </w:r>
            <w:r w:rsidRPr="00051DCF">
              <w:rPr>
                <w:rFonts w:ascii="Times New Roman" w:cs="Times New Roman"/>
                <w:i/>
                <w:sz w:val="20"/>
                <w:szCs w:val="20"/>
              </w:rPr>
              <w:t>грн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.</w:t>
            </w:r>
          </w:p>
          <w:p w14:paraId="451DC5E2" w14:textId="77777777" w:rsidR="00051DCF" w:rsidRPr="00051DCF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223D4220" w14:textId="77777777" w:rsidR="00051DCF" w:rsidRPr="00774224" w:rsidRDefault="00051DCF" w:rsidP="00051DCF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051DCF">
              <w:rPr>
                <w:rFonts w:ascii="Times New Roman" w:cs="Times New Roman"/>
                <w:i/>
                <w:sz w:val="20"/>
                <w:szCs w:val="20"/>
              </w:rPr>
              <w:t>відсоток забезпечення виплати допомоги – 100%</w:t>
            </w:r>
          </w:p>
        </w:tc>
        <w:tc>
          <w:tcPr>
            <w:tcW w:w="1562" w:type="dxa"/>
            <w:vAlign w:val="center"/>
          </w:tcPr>
          <w:p w14:paraId="231E82FE" w14:textId="77777777" w:rsidR="00062490" w:rsidRPr="00774224" w:rsidRDefault="00DC2DE5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C2DE5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64941B0B" w14:textId="77777777" w:rsidR="00062490" w:rsidRPr="00774224" w:rsidRDefault="00DC2DE5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20DE6DDC" w14:textId="1DD6152E" w:rsidR="00062490" w:rsidRPr="00774224" w:rsidRDefault="00DC2DE5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16210,</w:t>
            </w:r>
            <w:r w:rsidR="00D51914">
              <w:rPr>
                <w:rFonts w:ascii="Times New Roman" w:cs="Times New Roman"/>
                <w:sz w:val="20"/>
                <w:szCs w:val="20"/>
              </w:rPr>
              <w:t>2</w:t>
            </w:r>
            <w:r w:rsidR="00AE214B">
              <w:rPr>
                <w:rFonts w:asci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5" w:type="dxa"/>
            <w:vAlign w:val="center"/>
          </w:tcPr>
          <w:p w14:paraId="102943E0" w14:textId="77777777" w:rsidR="00062490" w:rsidRPr="00774224" w:rsidRDefault="00DC2DE5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DC2DE5">
              <w:rPr>
                <w:rFonts w:ascii="Times New Roman" w:cs="Times New Roman"/>
                <w:sz w:val="20"/>
                <w:szCs w:val="20"/>
              </w:rPr>
              <w:t>Покращення фінансового, матеріального стану родин</w:t>
            </w:r>
            <w:r>
              <w:rPr>
                <w:rFonts w:ascii="Times New Roman" w:cs="Times New Roman"/>
                <w:sz w:val="20"/>
                <w:szCs w:val="20"/>
              </w:rPr>
              <w:t xml:space="preserve">, </w:t>
            </w:r>
            <w:r w:rsidRPr="00DC2DE5">
              <w:rPr>
                <w:rFonts w:ascii="Times New Roman" w:cs="Times New Roman"/>
                <w:sz w:val="20"/>
                <w:szCs w:val="20"/>
              </w:rPr>
              <w:t>у яких виховуються діти (пасинки, падчерки) загиблих (померлих) Захисників чи Захисниць України, ветеранів війни та учасників Революції Гідності</w:t>
            </w:r>
          </w:p>
        </w:tc>
      </w:tr>
      <w:tr w:rsidR="00062490" w14:paraId="66DAAEE0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7FE7A9B9" w14:textId="1C05C609" w:rsidR="00062490" w:rsidRDefault="00FF20D8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9</w:t>
            </w:r>
            <w:r w:rsidR="00E87201"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7567102C" w14:textId="3654AA00" w:rsidR="00FD7040" w:rsidRPr="00FD7040" w:rsidRDefault="00FD7040" w:rsidP="0081118D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 xml:space="preserve">Завдання </w:t>
            </w:r>
            <w:r w:rsidR="00FF20D8">
              <w:rPr>
                <w:rFonts w:ascii="Times New Roman" w:cs="Times New Roman"/>
                <w:b/>
                <w:bCs/>
                <w:sz w:val="20"/>
                <w:szCs w:val="20"/>
              </w:rPr>
              <w:t>9</w:t>
            </w: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0DE44C77" w14:textId="77777777" w:rsidR="00062490" w:rsidRPr="0081118D" w:rsidRDefault="00E87201" w:rsidP="0081118D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Відшкодування витрат, пов’язаних із наданням пільг на житлово-комунальні послуги, тверде паливо та скраплений газ, на послуги зв’язку родинам Героїв Небесної Сотні</w:t>
            </w:r>
          </w:p>
        </w:tc>
        <w:tc>
          <w:tcPr>
            <w:tcW w:w="3401" w:type="dxa"/>
            <w:vAlign w:val="center"/>
          </w:tcPr>
          <w:p w14:paraId="0A563B0A" w14:textId="77777777" w:rsidR="00062490" w:rsidRPr="00FD7040" w:rsidRDefault="00E87201" w:rsidP="0077422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FD7040">
              <w:rPr>
                <w:rFonts w:ascii="Times New Roman" w:cs="Times New Roman"/>
                <w:b/>
                <w:bCs/>
                <w:sz w:val="20"/>
                <w:szCs w:val="20"/>
              </w:rPr>
              <w:t>Захід1.</w:t>
            </w:r>
          </w:p>
          <w:p w14:paraId="29239EE3" w14:textId="77777777" w:rsidR="00E87201" w:rsidRDefault="00E87201" w:rsidP="00774224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Забезпечення матеріальної підтримки родин Героїв Небесної Сотні</w:t>
            </w:r>
          </w:p>
          <w:p w14:paraId="56934367" w14:textId="77777777" w:rsidR="00E87201" w:rsidRDefault="00E87201" w:rsidP="00774224">
            <w:pPr>
              <w:rPr>
                <w:rFonts w:ascii="Times New Roman" w:cs="Times New Roman"/>
                <w:sz w:val="20"/>
                <w:szCs w:val="20"/>
              </w:rPr>
            </w:pPr>
          </w:p>
          <w:p w14:paraId="6A8DB78F" w14:textId="77777777" w:rsidR="00E87201" w:rsidRPr="00774224" w:rsidRDefault="00E87201" w:rsidP="00774224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122" w:type="dxa"/>
            <w:gridSpan w:val="2"/>
            <w:vAlign w:val="center"/>
          </w:tcPr>
          <w:p w14:paraId="59C7CD6D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затрат:</w:t>
            </w:r>
          </w:p>
          <w:p w14:paraId="6120BEB0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обсяг фінансового ресурсу</w:t>
            </w:r>
          </w:p>
          <w:p w14:paraId="40405BF3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00145658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кількість одержувачів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 xml:space="preserve">відшкодування </w:t>
            </w: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 –    2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0</w:t>
            </w: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 осіб </w:t>
            </w:r>
          </w:p>
          <w:p w14:paraId="27411203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065CBEBB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середній розмір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відшкодування</w:t>
            </w: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 –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15260</w:t>
            </w:r>
            <w:r w:rsidRPr="008823D2">
              <w:rPr>
                <w:rFonts w:ascii="Times New Roman" w:cs="Times New Roman"/>
                <w:i/>
                <w:sz w:val="20"/>
                <w:szCs w:val="20"/>
              </w:rPr>
              <w:t xml:space="preserve"> грн.</w:t>
            </w:r>
            <w:r>
              <w:rPr>
                <w:rFonts w:ascii="Times New Roman" w:cs="Times New Roman"/>
                <w:i/>
                <w:sz w:val="20"/>
                <w:szCs w:val="20"/>
              </w:rPr>
              <w:t xml:space="preserve"> в рік</w:t>
            </w:r>
          </w:p>
          <w:p w14:paraId="2F0DD18B" w14:textId="77777777" w:rsidR="008823D2" w:rsidRPr="008823D2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402C9185" w14:textId="77777777" w:rsidR="00062490" w:rsidRPr="00774224" w:rsidRDefault="008823D2" w:rsidP="008823D2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8823D2">
              <w:rPr>
                <w:rFonts w:ascii="Times New Roman" w:cs="Times New Roman"/>
                <w:i/>
                <w:sz w:val="20"/>
                <w:szCs w:val="20"/>
              </w:rPr>
              <w:t>відсоток забезпечення виплати допомоги – 100%</w:t>
            </w:r>
          </w:p>
        </w:tc>
        <w:tc>
          <w:tcPr>
            <w:tcW w:w="1562" w:type="dxa"/>
            <w:vAlign w:val="center"/>
          </w:tcPr>
          <w:p w14:paraId="08D774DC" w14:textId="77777777" w:rsidR="00062490" w:rsidRPr="00774224" w:rsidRDefault="00E8720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87201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4CAAD1B8" w14:textId="77777777" w:rsidR="00062490" w:rsidRPr="00774224" w:rsidRDefault="00E87201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60" w:type="dxa"/>
            <w:vAlign w:val="center"/>
          </w:tcPr>
          <w:p w14:paraId="503C69B7" w14:textId="77777777" w:rsidR="00062490" w:rsidRPr="00774224" w:rsidRDefault="00E8720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305,20</w:t>
            </w:r>
          </w:p>
        </w:tc>
        <w:tc>
          <w:tcPr>
            <w:tcW w:w="1955" w:type="dxa"/>
            <w:vAlign w:val="center"/>
          </w:tcPr>
          <w:p w14:paraId="38B08492" w14:textId="77777777" w:rsidR="00062490" w:rsidRPr="00774224" w:rsidRDefault="00E8720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87201">
              <w:rPr>
                <w:rFonts w:ascii="Times New Roman" w:cs="Times New Roman"/>
                <w:sz w:val="20"/>
                <w:szCs w:val="20"/>
              </w:rPr>
              <w:t>Покращення фінансового, матеріального стану родин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Героїв Небесної Сотні</w:t>
            </w:r>
          </w:p>
        </w:tc>
      </w:tr>
      <w:tr w:rsidR="00FA184E" w14:paraId="26EDF0AE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6E73BF68" w14:textId="549994D7" w:rsidR="00FA184E" w:rsidRDefault="000B79B4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1</w:t>
            </w:r>
            <w:r w:rsidR="00FF20D8">
              <w:rPr>
                <w:rFonts w:asci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89" w:type="dxa"/>
            <w:vAlign w:val="center"/>
          </w:tcPr>
          <w:p w14:paraId="6982F888" w14:textId="67A742CC" w:rsidR="005A2528" w:rsidRPr="005A2528" w:rsidRDefault="005A2528" w:rsidP="000B79B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5A2528">
              <w:rPr>
                <w:rFonts w:ascii="Times New Roman" w:cs="Times New Roman"/>
                <w:b/>
                <w:bCs/>
                <w:sz w:val="20"/>
                <w:szCs w:val="20"/>
              </w:rPr>
              <w:t>Завдання 1</w:t>
            </w:r>
            <w:r w:rsidR="00FF20D8">
              <w:rPr>
                <w:rFonts w:ascii="Times New Roman" w:cs="Times New Roman"/>
                <w:b/>
                <w:bCs/>
                <w:sz w:val="20"/>
                <w:szCs w:val="20"/>
              </w:rPr>
              <w:t>0</w:t>
            </w:r>
            <w:r w:rsidRPr="005A2528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60856E11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Підтримка </w:t>
            </w:r>
          </w:p>
          <w:p w14:paraId="79DC7B42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ветеранської </w:t>
            </w:r>
          </w:p>
          <w:p w14:paraId="1A718133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громадської </w:t>
            </w:r>
          </w:p>
          <w:p w14:paraId="0F763C80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активності, </w:t>
            </w:r>
          </w:p>
          <w:p w14:paraId="45FBAC1A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просвітницька </w:t>
            </w:r>
          </w:p>
          <w:p w14:paraId="630644B9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робота та розвиток </w:t>
            </w:r>
          </w:p>
          <w:p w14:paraId="028760E6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інформаційного </w:t>
            </w:r>
          </w:p>
          <w:p w14:paraId="1E9D1C6B" w14:textId="77777777" w:rsidR="00FA184E" w:rsidRPr="00FD03D8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>суспільства</w:t>
            </w:r>
          </w:p>
        </w:tc>
        <w:tc>
          <w:tcPr>
            <w:tcW w:w="3401" w:type="dxa"/>
            <w:vAlign w:val="center"/>
          </w:tcPr>
          <w:p w14:paraId="0C57E595" w14:textId="77777777" w:rsidR="000B79B4" w:rsidRPr="005A2528" w:rsidRDefault="000B79B4" w:rsidP="000B79B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5A2528">
              <w:rPr>
                <w:rFonts w:ascii="Times New Roman" w:cs="Times New Roman"/>
                <w:b/>
                <w:bCs/>
                <w:sz w:val="20"/>
                <w:szCs w:val="20"/>
              </w:rPr>
              <w:t>Захід1.</w:t>
            </w:r>
          </w:p>
          <w:p w14:paraId="230F2BCB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В</w:t>
            </w: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провадження в систему </w:t>
            </w:r>
          </w:p>
          <w:p w14:paraId="180FDA19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національного спротиву </w:t>
            </w:r>
          </w:p>
          <w:p w14:paraId="332EB245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практичного досвіду, набутого </w:t>
            </w:r>
          </w:p>
          <w:p w14:paraId="2179DBF5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ветеранами/ветеранками під час </w:t>
            </w:r>
          </w:p>
          <w:p w14:paraId="5AF80624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захисту суверенітету та </w:t>
            </w:r>
          </w:p>
          <w:p w14:paraId="78107F7F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територіальної цілісності </w:t>
            </w:r>
          </w:p>
          <w:p w14:paraId="2BF824F9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України, застосування </w:t>
            </w:r>
          </w:p>
          <w:p w14:paraId="69AF256B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практичного досвіду, набутого </w:t>
            </w:r>
          </w:p>
          <w:p w14:paraId="7F3B6637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ветеранами/ветеранками  під час </w:t>
            </w:r>
          </w:p>
          <w:p w14:paraId="24CD3ED9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захисту суверенітету та </w:t>
            </w:r>
          </w:p>
          <w:p w14:paraId="70F0CFD7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територіальної цілісності </w:t>
            </w:r>
          </w:p>
          <w:p w14:paraId="6162501B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України в системі </w:t>
            </w:r>
          </w:p>
          <w:p w14:paraId="13A81652" w14:textId="77777777" w:rsidR="00FA184E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>національного спротиву</w:t>
            </w:r>
          </w:p>
        </w:tc>
        <w:tc>
          <w:tcPr>
            <w:tcW w:w="3122" w:type="dxa"/>
            <w:gridSpan w:val="2"/>
            <w:vAlign w:val="center"/>
          </w:tcPr>
          <w:p w14:paraId="3A3969F2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обсяг фінансового ресурсу</w:t>
            </w:r>
          </w:p>
          <w:p w14:paraId="248D8779" w14:textId="77777777" w:rsidR="00FA184E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  <w:r>
              <w:rPr>
                <w:rFonts w:ascii="Times New Roman" w:cs="Times New Roman"/>
                <w:i/>
                <w:sz w:val="20"/>
                <w:szCs w:val="20"/>
              </w:rPr>
              <w:t xml:space="preserve"> н</w:t>
            </w:r>
            <w:r w:rsidR="000B79B4">
              <w:rPr>
                <w:rFonts w:ascii="Times New Roman" w:cs="Times New Roman"/>
                <w:i/>
                <w:sz w:val="20"/>
                <w:szCs w:val="20"/>
              </w:rPr>
              <w:t>е потребує затрат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;</w:t>
            </w:r>
          </w:p>
          <w:p w14:paraId="4172C79C" w14:textId="77777777" w:rsid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</w:p>
          <w:p w14:paraId="326CFA97" w14:textId="5FDC04B3" w:rsid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 xml:space="preserve">кількість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задіяних осіб - 220</w:t>
            </w:r>
          </w:p>
        </w:tc>
        <w:tc>
          <w:tcPr>
            <w:tcW w:w="1562" w:type="dxa"/>
            <w:vAlign w:val="center"/>
          </w:tcPr>
          <w:p w14:paraId="19D6528B" w14:textId="77777777" w:rsidR="00E92F58" w:rsidRDefault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адміністрації,</w:t>
            </w:r>
          </w:p>
          <w:p w14:paraId="4E29503F" w14:textId="77777777" w:rsidR="00FA184E" w:rsidRPr="00FD03D8" w:rsidRDefault="00E92F58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районні державні адміністрації,</w:t>
            </w:r>
            <w:r w:rsidR="000B79B4" w:rsidRPr="000B79B4">
              <w:rPr>
                <w:rFonts w:ascii="Times New Roman" w:cs="Times New Roman"/>
                <w:sz w:val="20"/>
                <w:szCs w:val="20"/>
              </w:rPr>
              <w:t xml:space="preserve"> територіальні громади</w:t>
            </w:r>
          </w:p>
        </w:tc>
        <w:tc>
          <w:tcPr>
            <w:tcW w:w="1731" w:type="dxa"/>
            <w:vAlign w:val="center"/>
          </w:tcPr>
          <w:p w14:paraId="21F8721B" w14:textId="77777777" w:rsidR="00FA184E" w:rsidRDefault="000B79B4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560" w:type="dxa"/>
            <w:vAlign w:val="center"/>
          </w:tcPr>
          <w:p w14:paraId="533E3AE4" w14:textId="77777777" w:rsidR="00FA184E" w:rsidRDefault="00134676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5" w:type="dxa"/>
            <w:vAlign w:val="center"/>
          </w:tcPr>
          <w:p w14:paraId="156628CD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В</w:t>
            </w: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провадження  </w:t>
            </w:r>
          </w:p>
          <w:p w14:paraId="0B381080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в систему </w:t>
            </w:r>
          </w:p>
          <w:p w14:paraId="00DDB1AE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національного </w:t>
            </w:r>
          </w:p>
          <w:p w14:paraId="53F61602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спротиву </w:t>
            </w:r>
          </w:p>
          <w:p w14:paraId="22B7349B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практичного </w:t>
            </w:r>
          </w:p>
          <w:p w14:paraId="6969D022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досвіду, </w:t>
            </w:r>
          </w:p>
          <w:p w14:paraId="1B62A08A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набутого </w:t>
            </w:r>
          </w:p>
          <w:p w14:paraId="31B58F19" w14:textId="77777777" w:rsidR="000B79B4" w:rsidRPr="000B79B4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>ветеранами/</w:t>
            </w:r>
          </w:p>
          <w:p w14:paraId="1D3F7811" w14:textId="77777777" w:rsidR="00FA184E" w:rsidRDefault="000B79B4" w:rsidP="000B79B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0B79B4">
              <w:rPr>
                <w:rFonts w:ascii="Times New Roman" w:cs="Times New Roman"/>
                <w:sz w:val="20"/>
                <w:szCs w:val="20"/>
              </w:rPr>
              <w:t xml:space="preserve"> ветеранками</w:t>
            </w:r>
          </w:p>
        </w:tc>
      </w:tr>
      <w:tr w:rsidR="000B79B4" w14:paraId="3FD490BB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11370826" w14:textId="77777777" w:rsidR="000B79B4" w:rsidRDefault="000B79B4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14:paraId="0740517B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49828D96" w14:textId="77777777" w:rsidR="000B79B4" w:rsidRPr="005A2528" w:rsidRDefault="004D3B24" w:rsidP="000B79B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5A2528">
              <w:rPr>
                <w:rFonts w:ascii="Times New Roman" w:cs="Times New Roman"/>
                <w:b/>
                <w:bCs/>
                <w:sz w:val="20"/>
                <w:szCs w:val="20"/>
              </w:rPr>
              <w:t>Захід 2.</w:t>
            </w:r>
          </w:p>
          <w:p w14:paraId="307E8C49" w14:textId="77777777" w:rsidR="004D3B24" w:rsidRP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З</w:t>
            </w:r>
            <w:r w:rsidRPr="004D3B24">
              <w:rPr>
                <w:rFonts w:ascii="Times New Roman" w:cs="Times New Roman"/>
                <w:sz w:val="20"/>
                <w:szCs w:val="20"/>
              </w:rPr>
              <w:t xml:space="preserve">абезпечення залучення </w:t>
            </w:r>
          </w:p>
          <w:p w14:paraId="01D8895E" w14:textId="77777777" w:rsidR="004D3B24" w:rsidRP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ветеранів/ветеранок  з дійсним </w:t>
            </w:r>
          </w:p>
          <w:p w14:paraId="6B1A7B24" w14:textId="77777777" w:rsidR="004D3B24" w:rsidRP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бойовим досвідом до роботи </w:t>
            </w:r>
          </w:p>
          <w:p w14:paraId="71F3036C" w14:textId="77777777" w:rsidR="004D3B24" w:rsidRP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інструкторами в центрах </w:t>
            </w:r>
          </w:p>
          <w:p w14:paraId="12D73402" w14:textId="77777777" w:rsidR="004D3B24" w:rsidRP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підготовки громадян України до </w:t>
            </w:r>
          </w:p>
          <w:p w14:paraId="64F2E83F" w14:textId="77777777" w:rsidR="004D3B24" w:rsidRDefault="004D3B24" w:rsidP="004D3B24">
            <w:pPr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>національного спротиву</w:t>
            </w:r>
          </w:p>
        </w:tc>
        <w:tc>
          <w:tcPr>
            <w:tcW w:w="3122" w:type="dxa"/>
            <w:gridSpan w:val="2"/>
            <w:vAlign w:val="center"/>
          </w:tcPr>
          <w:p w14:paraId="3AC57E74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обсяг фінансового ресурсу</w:t>
            </w:r>
          </w:p>
          <w:p w14:paraId="45910248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продукту: не потребує затрат;</w:t>
            </w:r>
          </w:p>
          <w:p w14:paraId="01F1726B" w14:textId="77777777" w:rsid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</w:p>
          <w:p w14:paraId="55C4A994" w14:textId="1976E9BB" w:rsidR="000B79B4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 xml:space="preserve">кількість задіяних осіб -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73</w:t>
            </w:r>
          </w:p>
        </w:tc>
        <w:tc>
          <w:tcPr>
            <w:tcW w:w="1562" w:type="dxa"/>
            <w:vAlign w:val="center"/>
          </w:tcPr>
          <w:p w14:paraId="74AA73CB" w14:textId="77777777" w:rsidR="00E92F58" w:rsidRDefault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адміністрації,</w:t>
            </w:r>
          </w:p>
          <w:p w14:paraId="4A293B91" w14:textId="77777777" w:rsidR="000B79B4" w:rsidRPr="000B79B4" w:rsidRDefault="00E92F58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районні державні адміністрації,</w:t>
            </w:r>
            <w:r w:rsidR="004D3B24" w:rsidRPr="004D3B24">
              <w:rPr>
                <w:rFonts w:ascii="Times New Roman" w:cs="Times New Roman"/>
                <w:sz w:val="20"/>
                <w:szCs w:val="20"/>
              </w:rPr>
              <w:t xml:space="preserve"> територіальні громади</w:t>
            </w:r>
          </w:p>
        </w:tc>
        <w:tc>
          <w:tcPr>
            <w:tcW w:w="1731" w:type="dxa"/>
            <w:vAlign w:val="center"/>
          </w:tcPr>
          <w:p w14:paraId="2ADEF73A" w14:textId="77777777" w:rsidR="000B79B4" w:rsidRDefault="004D3B24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560" w:type="dxa"/>
            <w:vAlign w:val="center"/>
          </w:tcPr>
          <w:p w14:paraId="46BF45D6" w14:textId="77777777" w:rsidR="000B79B4" w:rsidRDefault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5" w:type="dxa"/>
            <w:vAlign w:val="center"/>
          </w:tcPr>
          <w:p w14:paraId="32E6ED72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З</w:t>
            </w:r>
            <w:r w:rsidRPr="004D3B24">
              <w:rPr>
                <w:rFonts w:ascii="Times New Roman" w:cs="Times New Roman"/>
                <w:sz w:val="20"/>
                <w:szCs w:val="20"/>
              </w:rPr>
              <w:t xml:space="preserve">алучення </w:t>
            </w:r>
          </w:p>
          <w:p w14:paraId="60300BEC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ветеранів/ </w:t>
            </w:r>
          </w:p>
          <w:p w14:paraId="2E4650F3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ветеранок    до </w:t>
            </w:r>
          </w:p>
          <w:p w14:paraId="5A9C498D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роботи </w:t>
            </w:r>
          </w:p>
          <w:p w14:paraId="38BE86CE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інструкторами </w:t>
            </w:r>
          </w:p>
          <w:p w14:paraId="00466BD9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в центрах </w:t>
            </w:r>
          </w:p>
          <w:p w14:paraId="28A42399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підготовки </w:t>
            </w:r>
          </w:p>
          <w:p w14:paraId="3BF66E2A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громадян </w:t>
            </w:r>
          </w:p>
          <w:p w14:paraId="77ED115A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України до </w:t>
            </w:r>
          </w:p>
          <w:p w14:paraId="5CBFB091" w14:textId="77777777" w:rsidR="004D3B24" w:rsidRPr="004D3B2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 xml:space="preserve">національного </w:t>
            </w:r>
          </w:p>
          <w:p w14:paraId="40E582B7" w14:textId="77777777" w:rsidR="000B79B4" w:rsidRDefault="004D3B24" w:rsidP="004D3B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D3B24">
              <w:rPr>
                <w:rFonts w:ascii="Times New Roman" w:cs="Times New Roman"/>
                <w:sz w:val="20"/>
                <w:szCs w:val="20"/>
              </w:rPr>
              <w:t>спротиву</w:t>
            </w:r>
          </w:p>
        </w:tc>
      </w:tr>
      <w:tr w:rsidR="000B79B4" w14:paraId="37484324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58C11F23" w14:textId="77777777" w:rsidR="000B79B4" w:rsidRDefault="000B79B4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</w:p>
        </w:tc>
        <w:tc>
          <w:tcPr>
            <w:tcW w:w="2389" w:type="dxa"/>
            <w:vAlign w:val="center"/>
          </w:tcPr>
          <w:p w14:paraId="03D46D51" w14:textId="77777777" w:rsidR="000B79B4" w:rsidRPr="000B79B4" w:rsidRDefault="000B79B4" w:rsidP="000B79B4">
            <w:pPr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Align w:val="center"/>
          </w:tcPr>
          <w:p w14:paraId="0772699C" w14:textId="77777777" w:rsidR="000B79B4" w:rsidRPr="005A2528" w:rsidRDefault="00E92F58" w:rsidP="000B79B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5A2528">
              <w:rPr>
                <w:rFonts w:ascii="Times New Roman" w:cs="Times New Roman"/>
                <w:b/>
                <w:bCs/>
                <w:sz w:val="20"/>
                <w:szCs w:val="20"/>
              </w:rPr>
              <w:t>Захід 3.</w:t>
            </w:r>
          </w:p>
          <w:p w14:paraId="4B4A4D74" w14:textId="77777777" w:rsidR="00E92F58" w:rsidRP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З</w:t>
            </w:r>
            <w:r w:rsidRPr="00E92F58">
              <w:rPr>
                <w:rFonts w:ascii="Times New Roman" w:cs="Times New Roman"/>
                <w:sz w:val="20"/>
                <w:szCs w:val="20"/>
              </w:rPr>
              <w:t xml:space="preserve">абезпечення залучення </w:t>
            </w:r>
          </w:p>
          <w:p w14:paraId="7C8A356D" w14:textId="77777777" w:rsidR="00E92F58" w:rsidRP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 xml:space="preserve">ветеранів/ветеранок до </w:t>
            </w:r>
          </w:p>
          <w:p w14:paraId="5D309214" w14:textId="77777777" w:rsidR="00E92F58" w:rsidRP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 xml:space="preserve">організації та виконання </w:t>
            </w:r>
          </w:p>
          <w:p w14:paraId="2B60F04B" w14:textId="77777777" w:rsidR="00E92F58" w:rsidRP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 xml:space="preserve">програм, проєктів та  заходів, </w:t>
            </w:r>
          </w:p>
          <w:p w14:paraId="40EF3DB8" w14:textId="77777777" w:rsidR="00E92F58" w:rsidRP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>спрямованих на національн</w:t>
            </w:r>
            <w:r>
              <w:rPr>
                <w:rFonts w:ascii="Times New Roman" w:cs="Times New Roman"/>
                <w:sz w:val="20"/>
                <w:szCs w:val="20"/>
              </w:rPr>
              <w:t>о-</w:t>
            </w:r>
            <w:r w:rsidRPr="00E92F58">
              <w:rPr>
                <w:rFonts w:ascii="Times New Roman" w:cs="Times New Roman"/>
                <w:sz w:val="20"/>
                <w:szCs w:val="20"/>
              </w:rPr>
              <w:t>патріотичне виховання,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Pr="00E92F58">
              <w:rPr>
                <w:rFonts w:ascii="Times New Roman" w:cs="Times New Roman"/>
                <w:sz w:val="20"/>
                <w:szCs w:val="20"/>
              </w:rPr>
              <w:t>військово</w:t>
            </w:r>
            <w:r>
              <w:rPr>
                <w:rFonts w:ascii="Times New Roman" w:cs="Times New Roman"/>
                <w:sz w:val="20"/>
                <w:szCs w:val="20"/>
              </w:rPr>
              <w:t>-</w:t>
            </w:r>
            <w:r w:rsidRPr="00E92F58">
              <w:rPr>
                <w:rFonts w:ascii="Times New Roman" w:cs="Times New Roman"/>
                <w:sz w:val="20"/>
                <w:szCs w:val="20"/>
              </w:rPr>
              <w:t xml:space="preserve"> патріотичне </w:t>
            </w:r>
          </w:p>
          <w:p w14:paraId="351F98D5" w14:textId="77777777" w:rsidR="00E92F58" w:rsidRDefault="00E92F58" w:rsidP="00E92F58">
            <w:pPr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>виховання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задля </w:t>
            </w:r>
            <w:r w:rsidRPr="00E92F58">
              <w:rPr>
                <w:rFonts w:ascii="Times New Roman" w:cs="Times New Roman"/>
                <w:sz w:val="20"/>
                <w:szCs w:val="20"/>
              </w:rPr>
              <w:t>формування у громадян України оборонної свідомості, поваги до військової служби та готовності захищати свою Батьківщину.</w:t>
            </w:r>
          </w:p>
        </w:tc>
        <w:tc>
          <w:tcPr>
            <w:tcW w:w="3122" w:type="dxa"/>
            <w:gridSpan w:val="2"/>
            <w:vAlign w:val="center"/>
          </w:tcPr>
          <w:p w14:paraId="0F744D3C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обсяг фінансового ресурсу</w:t>
            </w:r>
          </w:p>
          <w:p w14:paraId="7BC3AF4A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>продукту: не потребує затрат;</w:t>
            </w:r>
          </w:p>
          <w:p w14:paraId="1D28A870" w14:textId="77777777" w:rsidR="0042052D" w:rsidRPr="0042052D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</w:p>
          <w:p w14:paraId="1836E6D1" w14:textId="290943E7" w:rsidR="000B79B4" w:rsidRDefault="0042052D" w:rsidP="0042052D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42052D">
              <w:rPr>
                <w:rFonts w:ascii="Times New Roman" w:cs="Times New Roman"/>
                <w:i/>
                <w:sz w:val="20"/>
                <w:szCs w:val="20"/>
              </w:rPr>
              <w:t xml:space="preserve">кількість задіяних осіб - </w:t>
            </w:r>
            <w:r>
              <w:rPr>
                <w:rFonts w:ascii="Times New Roman" w:cs="Times New Roman"/>
                <w:i/>
                <w:sz w:val="20"/>
                <w:szCs w:val="20"/>
              </w:rPr>
              <w:t>220</w:t>
            </w:r>
          </w:p>
        </w:tc>
        <w:tc>
          <w:tcPr>
            <w:tcW w:w="1562" w:type="dxa"/>
            <w:vAlign w:val="center"/>
          </w:tcPr>
          <w:p w14:paraId="0D41A5B0" w14:textId="77777777" w:rsidR="00E92F58" w:rsidRDefault="00E92F58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E92F58">
              <w:rPr>
                <w:rFonts w:ascii="Times New Roman" w:cs="Times New Roman"/>
                <w:sz w:val="20"/>
                <w:szCs w:val="20"/>
              </w:rPr>
              <w:t xml:space="preserve">Управління з питань ветеранської політики обласної державної адміністрації, </w:t>
            </w:r>
          </w:p>
          <w:p w14:paraId="2A7E0889" w14:textId="77777777" w:rsidR="000B79B4" w:rsidRPr="000B79B4" w:rsidRDefault="00E92F58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районні державні адміністрації, </w:t>
            </w:r>
            <w:r w:rsidRPr="00E92F58">
              <w:rPr>
                <w:rFonts w:ascii="Times New Roman" w:cs="Times New Roman"/>
                <w:sz w:val="20"/>
                <w:szCs w:val="20"/>
              </w:rPr>
              <w:t>територіальні громади</w:t>
            </w:r>
          </w:p>
        </w:tc>
        <w:tc>
          <w:tcPr>
            <w:tcW w:w="1731" w:type="dxa"/>
            <w:vAlign w:val="center"/>
          </w:tcPr>
          <w:p w14:paraId="401A4111" w14:textId="77777777" w:rsidR="000B79B4" w:rsidRDefault="006F33CD" w:rsidP="00774224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Не потребує фінансування</w:t>
            </w:r>
          </w:p>
        </w:tc>
        <w:tc>
          <w:tcPr>
            <w:tcW w:w="1560" w:type="dxa"/>
            <w:vAlign w:val="center"/>
          </w:tcPr>
          <w:p w14:paraId="4A3F0616" w14:textId="77777777" w:rsidR="000B79B4" w:rsidRDefault="006F33CD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-</w:t>
            </w:r>
          </w:p>
        </w:tc>
        <w:tc>
          <w:tcPr>
            <w:tcW w:w="1955" w:type="dxa"/>
            <w:vAlign w:val="center"/>
          </w:tcPr>
          <w:p w14:paraId="6ED95CD2" w14:textId="77777777" w:rsidR="00412D9F" w:rsidRPr="00412D9F" w:rsidRDefault="00412D9F" w:rsidP="00412D9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12D9F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/>
                <w:sz w:val="20"/>
                <w:szCs w:val="20"/>
              </w:rPr>
              <w:t>Н</w:t>
            </w:r>
            <w:r w:rsidRPr="00412D9F">
              <w:rPr>
                <w:rFonts w:ascii="Times New Roman" w:cs="Times New Roman"/>
                <w:sz w:val="20"/>
                <w:szCs w:val="20"/>
              </w:rPr>
              <w:t xml:space="preserve">аціонально-патріотичне виховання, військово- патріотичне </w:t>
            </w:r>
          </w:p>
          <w:p w14:paraId="23CAD489" w14:textId="77777777" w:rsidR="000B79B4" w:rsidRDefault="00412D9F" w:rsidP="00412D9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412D9F">
              <w:rPr>
                <w:rFonts w:ascii="Times New Roman" w:cs="Times New Roman"/>
                <w:sz w:val="20"/>
                <w:szCs w:val="20"/>
              </w:rPr>
              <w:t>виховання задля формування у громадян України оборонної свідомості, поваги до військової служби та готовності захищати свою Батьківщину.</w:t>
            </w:r>
          </w:p>
        </w:tc>
      </w:tr>
      <w:tr w:rsidR="00D84571" w14:paraId="655043E4" w14:textId="77777777" w:rsidTr="007D68FC">
        <w:trPr>
          <w:cantSplit/>
          <w:trHeight w:val="571"/>
          <w:tblHeader/>
        </w:trPr>
        <w:tc>
          <w:tcPr>
            <w:tcW w:w="526" w:type="dxa"/>
            <w:vAlign w:val="center"/>
          </w:tcPr>
          <w:p w14:paraId="6A449ED5" w14:textId="01346484" w:rsidR="00D84571" w:rsidRDefault="00D84571">
            <w:pPr>
              <w:jc w:val="center"/>
              <w:rPr>
                <w:rFonts w:ascii="Times New Roman" w:cs="Times New Roman"/>
                <w:b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lastRenderedPageBreak/>
              <w:t>1</w:t>
            </w:r>
            <w:r w:rsidR="00FF20D8">
              <w:rPr>
                <w:rFonts w:asci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2389" w:type="dxa"/>
            <w:vAlign w:val="center"/>
          </w:tcPr>
          <w:p w14:paraId="658E3AA7" w14:textId="77777777" w:rsidR="00D84571" w:rsidRPr="000B79B4" w:rsidRDefault="00290AFD" w:rsidP="000B79B4">
            <w:pPr>
              <w:rPr>
                <w:rFonts w:ascii="Times New Roman" w:cs="Times New Roman"/>
                <w:sz w:val="20"/>
                <w:szCs w:val="20"/>
              </w:rPr>
            </w:pPr>
            <w:bookmarkStart w:id="1" w:name="_Hlk214616440"/>
            <w:r>
              <w:rPr>
                <w:rFonts w:ascii="Times New Roman" w:cs="Times New Roman"/>
                <w:sz w:val="20"/>
                <w:szCs w:val="20"/>
              </w:rPr>
              <w:t>Здійснення к</w:t>
            </w:r>
            <w:r w:rsidR="00D84571" w:rsidRPr="00D84571">
              <w:rPr>
                <w:rFonts w:ascii="Times New Roman" w:cs="Times New Roman"/>
                <w:sz w:val="20"/>
                <w:szCs w:val="20"/>
              </w:rPr>
              <w:t xml:space="preserve">омпенсації вартості наданих послуг з організації сімейного відпочинку </w:t>
            </w:r>
            <w:r w:rsidR="00D84571">
              <w:rPr>
                <w:rFonts w:ascii="Times New Roman" w:cs="Times New Roman"/>
                <w:sz w:val="20"/>
                <w:szCs w:val="20"/>
              </w:rPr>
              <w:t>ветеранів</w:t>
            </w:r>
            <w:r w:rsidR="00F90FAC">
              <w:rPr>
                <w:rFonts w:ascii="Times New Roman" w:cs="Times New Roman"/>
                <w:sz w:val="20"/>
                <w:szCs w:val="20"/>
              </w:rPr>
              <w:t xml:space="preserve"> війни</w:t>
            </w:r>
            <w:r w:rsidR="00D84571">
              <w:rPr>
                <w:rFonts w:ascii="Times New Roman" w:cs="Times New Roman"/>
                <w:sz w:val="20"/>
                <w:szCs w:val="20"/>
              </w:rPr>
              <w:t xml:space="preserve"> та членів </w:t>
            </w:r>
            <w:r w:rsidR="00F90FAC">
              <w:rPr>
                <w:rFonts w:ascii="Times New Roman" w:cs="Times New Roman"/>
                <w:sz w:val="20"/>
                <w:szCs w:val="20"/>
              </w:rPr>
              <w:t xml:space="preserve">їх </w:t>
            </w:r>
            <w:r w:rsidR="00D84571">
              <w:rPr>
                <w:rFonts w:ascii="Times New Roman" w:cs="Times New Roman"/>
                <w:sz w:val="20"/>
                <w:szCs w:val="20"/>
              </w:rPr>
              <w:t>сімей</w:t>
            </w:r>
            <w:r w:rsidR="00F90FAC">
              <w:rPr>
                <w:rFonts w:ascii="Times New Roman" w:cs="Times New Roman"/>
                <w:sz w:val="20"/>
                <w:szCs w:val="20"/>
              </w:rPr>
              <w:t>,</w:t>
            </w:r>
            <w:r w:rsidR="00D84571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="00D84571" w:rsidRPr="00D84571">
              <w:rPr>
                <w:rFonts w:ascii="Times New Roman" w:cs="Times New Roman"/>
                <w:sz w:val="20"/>
                <w:szCs w:val="20"/>
              </w:rPr>
              <w:t>учасників АТО (ООС) (у тому числі  бійців-добровольців АТО) та членів їхніх сімей</w:t>
            </w:r>
            <w:r w:rsidR="003B01F7">
              <w:rPr>
                <w:rFonts w:ascii="Times New Roman" w:cs="Times New Roman"/>
                <w:sz w:val="20"/>
                <w:szCs w:val="20"/>
              </w:rPr>
              <w:t>, учасників Революції Гідності та членів їх сімей.</w:t>
            </w:r>
            <w:bookmarkEnd w:id="1"/>
          </w:p>
        </w:tc>
        <w:tc>
          <w:tcPr>
            <w:tcW w:w="3401" w:type="dxa"/>
            <w:vAlign w:val="center"/>
          </w:tcPr>
          <w:p w14:paraId="1C6CFA61" w14:textId="5200D892" w:rsidR="00896809" w:rsidRPr="00896809" w:rsidRDefault="00896809" w:rsidP="000B79B4">
            <w:pPr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 w:rsidRPr="00896809">
              <w:rPr>
                <w:rFonts w:ascii="Times New Roman" w:cs="Times New Roman"/>
                <w:b/>
                <w:bCs/>
                <w:sz w:val="20"/>
                <w:szCs w:val="20"/>
              </w:rPr>
              <w:t>Захід 1</w:t>
            </w:r>
            <w:r w:rsidR="00FF20D8">
              <w:rPr>
                <w:rFonts w:ascii="Times New Roman" w:cs="Times New Roman"/>
                <w:b/>
                <w:bCs/>
                <w:sz w:val="20"/>
                <w:szCs w:val="20"/>
              </w:rPr>
              <w:t>1</w:t>
            </w:r>
            <w:r w:rsidRPr="00896809">
              <w:rPr>
                <w:rFonts w:ascii="Times New Roman" w:cs="Times New Roman"/>
                <w:b/>
                <w:bCs/>
                <w:sz w:val="20"/>
                <w:szCs w:val="20"/>
              </w:rPr>
              <w:t>.</w:t>
            </w:r>
          </w:p>
          <w:p w14:paraId="1BCE0952" w14:textId="77777777" w:rsidR="00D84571" w:rsidRPr="00290AFD" w:rsidRDefault="00290AFD" w:rsidP="000B79B4">
            <w:pPr>
              <w:rPr>
                <w:rFonts w:ascii="Times New Roman" w:cs="Times New Roman"/>
                <w:sz w:val="20"/>
                <w:szCs w:val="20"/>
              </w:rPr>
            </w:pPr>
            <w:bookmarkStart w:id="2" w:name="_Hlk214616239"/>
            <w:r>
              <w:rPr>
                <w:rFonts w:ascii="Times New Roman" w:cs="Times New Roman"/>
                <w:sz w:val="20"/>
                <w:szCs w:val="20"/>
              </w:rPr>
              <w:t>К</w:t>
            </w:r>
            <w:r w:rsidRPr="00290AFD">
              <w:rPr>
                <w:rFonts w:ascii="Times New Roman" w:cs="Times New Roman"/>
                <w:sz w:val="20"/>
                <w:szCs w:val="20"/>
              </w:rPr>
              <w:t>омпенсаці</w:t>
            </w:r>
            <w:r>
              <w:rPr>
                <w:rFonts w:ascii="Times New Roman" w:cs="Times New Roman"/>
                <w:sz w:val="20"/>
                <w:szCs w:val="20"/>
              </w:rPr>
              <w:t xml:space="preserve">я </w:t>
            </w:r>
            <w:r w:rsidRPr="00290AFD">
              <w:rPr>
                <w:rFonts w:ascii="Times New Roman" w:cs="Times New Roman"/>
                <w:sz w:val="20"/>
                <w:szCs w:val="20"/>
              </w:rPr>
              <w:t>вартості наданих послуг з організації сімейного відпочинку ветеранів війни та членів їх сімей, учасників АТО (ООС) (у тому числі  бійців-добровольців АТО) та членів їхніх сімей</w:t>
            </w:r>
            <w:r w:rsidR="003B01F7">
              <w:rPr>
                <w:rFonts w:ascii="Times New Roman" w:cs="Times New Roman"/>
                <w:sz w:val="20"/>
                <w:szCs w:val="20"/>
              </w:rPr>
              <w:t>, учасників Революції Гідності та членів їх сімей</w:t>
            </w:r>
            <w:r w:rsidR="00A077EC">
              <w:rPr>
                <w:rFonts w:ascii="Times New Roman" w:cs="Times New Roman"/>
                <w:sz w:val="20"/>
                <w:szCs w:val="20"/>
              </w:rPr>
              <w:t xml:space="preserve"> на умовах співфінансування</w:t>
            </w:r>
            <w:r w:rsidR="00896809">
              <w:rPr>
                <w:rFonts w:ascii="Times New Roman" w:cs="Times New Roman"/>
                <w:sz w:val="20"/>
                <w:szCs w:val="20"/>
              </w:rPr>
              <w:t>.</w:t>
            </w:r>
            <w:bookmarkEnd w:id="2"/>
          </w:p>
        </w:tc>
        <w:tc>
          <w:tcPr>
            <w:tcW w:w="3122" w:type="dxa"/>
            <w:gridSpan w:val="2"/>
            <w:vAlign w:val="center"/>
          </w:tcPr>
          <w:p w14:paraId="4A485D77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 xml:space="preserve">Затрат: </w:t>
            </w:r>
          </w:p>
          <w:p w14:paraId="55366D6E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>- обсяг фінансового ресурсу</w:t>
            </w:r>
          </w:p>
          <w:p w14:paraId="2410EE94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>Продукту:</w:t>
            </w:r>
          </w:p>
          <w:p w14:paraId="389D6089" w14:textId="609AF45C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 xml:space="preserve">- чисельність одержувачів  послуги (очікувана кількість – </w:t>
            </w:r>
            <w:r w:rsidR="00FF20D8">
              <w:rPr>
                <w:rFonts w:ascii="Times New Roman" w:cs="Times New Roman"/>
                <w:i/>
                <w:sz w:val="20"/>
                <w:szCs w:val="20"/>
              </w:rPr>
              <w:t>560</w:t>
            </w:r>
            <w:r w:rsidRPr="003B01F7">
              <w:rPr>
                <w:rFonts w:ascii="Times New Roman" w:cs="Times New Roman"/>
                <w:i/>
                <w:sz w:val="20"/>
                <w:szCs w:val="20"/>
              </w:rPr>
              <w:t xml:space="preserve"> осіб)</w:t>
            </w:r>
          </w:p>
          <w:p w14:paraId="088D272A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>Ефективності:</w:t>
            </w:r>
          </w:p>
          <w:p w14:paraId="2A241CFF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 xml:space="preserve">- середня вартість відшкодування </w:t>
            </w:r>
            <w:r w:rsidR="00A077EC">
              <w:rPr>
                <w:rFonts w:ascii="Times New Roman" w:cs="Times New Roman"/>
                <w:i/>
                <w:sz w:val="20"/>
                <w:szCs w:val="20"/>
              </w:rPr>
              <w:t>1</w:t>
            </w:r>
            <w:r w:rsidR="00410F47">
              <w:rPr>
                <w:rFonts w:ascii="Times New Roman" w:cs="Times New Roman"/>
                <w:i/>
                <w:sz w:val="20"/>
                <w:szCs w:val="20"/>
              </w:rPr>
              <w:t>5</w:t>
            </w:r>
            <w:r w:rsidR="00A077EC">
              <w:rPr>
                <w:rFonts w:ascii="Times New Roman" w:cs="Times New Roman"/>
                <w:i/>
                <w:sz w:val="20"/>
                <w:szCs w:val="20"/>
              </w:rPr>
              <w:t>000</w:t>
            </w:r>
            <w:r w:rsidRPr="003B01F7">
              <w:rPr>
                <w:rFonts w:ascii="Times New Roman" w:cs="Times New Roman"/>
                <w:i/>
                <w:sz w:val="20"/>
                <w:szCs w:val="20"/>
              </w:rPr>
              <w:t xml:space="preserve"> грн</w:t>
            </w:r>
            <w:r w:rsidR="00A077EC">
              <w:rPr>
                <w:rFonts w:ascii="Times New Roman" w:cs="Times New Roman"/>
                <w:i/>
                <w:sz w:val="20"/>
                <w:szCs w:val="20"/>
              </w:rPr>
              <w:t xml:space="preserve">. на 1 особу (термін відпочинку не більше 10 днів) </w:t>
            </w:r>
          </w:p>
          <w:p w14:paraId="467938F4" w14:textId="77777777" w:rsidR="003B01F7" w:rsidRPr="003B01F7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>Якості:</w:t>
            </w:r>
          </w:p>
          <w:p w14:paraId="338ACC12" w14:textId="77777777" w:rsidR="00D84571" w:rsidRDefault="003B01F7" w:rsidP="003B01F7">
            <w:pPr>
              <w:rPr>
                <w:rFonts w:ascii="Times New Roman" w:cs="Times New Roman"/>
                <w:i/>
                <w:sz w:val="20"/>
                <w:szCs w:val="20"/>
              </w:rPr>
            </w:pPr>
            <w:r w:rsidRPr="003B01F7">
              <w:rPr>
                <w:rFonts w:ascii="Times New Roman" w:cs="Times New Roman"/>
                <w:i/>
                <w:sz w:val="20"/>
                <w:szCs w:val="20"/>
              </w:rPr>
              <w:t>- 100% забезпечення відшкодування</w:t>
            </w:r>
          </w:p>
        </w:tc>
        <w:tc>
          <w:tcPr>
            <w:tcW w:w="1562" w:type="dxa"/>
            <w:vAlign w:val="center"/>
          </w:tcPr>
          <w:p w14:paraId="6EC3A9CD" w14:textId="77777777" w:rsidR="00D84571" w:rsidRPr="00E92F58" w:rsidRDefault="00A077E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077EC">
              <w:rPr>
                <w:rFonts w:ascii="Times New Roman" w:cs="Times New Roman"/>
                <w:sz w:val="20"/>
                <w:szCs w:val="20"/>
              </w:rPr>
              <w:t>Управління з питань ветеранської політики обласної державної адміністрації</w:t>
            </w:r>
          </w:p>
        </w:tc>
        <w:tc>
          <w:tcPr>
            <w:tcW w:w="1731" w:type="dxa"/>
            <w:vAlign w:val="center"/>
          </w:tcPr>
          <w:p w14:paraId="63560073" w14:textId="77777777" w:rsidR="00A077EC" w:rsidRPr="00A077EC" w:rsidRDefault="00A077EC" w:rsidP="00A077E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077EC">
              <w:rPr>
                <w:rFonts w:ascii="Times New Roman" w:cs="Times New Roman"/>
                <w:sz w:val="20"/>
                <w:szCs w:val="20"/>
              </w:rPr>
              <w:t>Обласний бюджет</w:t>
            </w:r>
          </w:p>
          <w:p w14:paraId="755C3A07" w14:textId="77777777" w:rsidR="00D84571" w:rsidRDefault="00A077EC" w:rsidP="00A077EC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A077EC">
              <w:rPr>
                <w:rFonts w:ascii="Times New Roman" w:cs="Times New Roman"/>
                <w:sz w:val="20"/>
                <w:szCs w:val="20"/>
              </w:rPr>
              <w:t>Місцеві бюджети, інші джерела, не заборонені законодавством</w:t>
            </w:r>
          </w:p>
        </w:tc>
        <w:tc>
          <w:tcPr>
            <w:tcW w:w="1560" w:type="dxa"/>
            <w:vAlign w:val="center"/>
          </w:tcPr>
          <w:p w14:paraId="6E2B2137" w14:textId="759449D4" w:rsidR="00D84571" w:rsidRDefault="00FF20D8" w:rsidP="003B44F7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8400</w:t>
            </w:r>
            <w:r w:rsidR="003B44F7">
              <w:rPr>
                <w:rFonts w:asci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55" w:type="dxa"/>
            <w:vAlign w:val="center"/>
          </w:tcPr>
          <w:p w14:paraId="07A632CB" w14:textId="77777777" w:rsidR="003B01F7" w:rsidRDefault="00290AFD" w:rsidP="00412D9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Підтримка психологічного відновлення ветеранів</w:t>
            </w:r>
            <w:r w:rsidR="003B01F7">
              <w:rPr>
                <w:rFonts w:asci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cs="Times New Roman"/>
                <w:sz w:val="20"/>
                <w:szCs w:val="20"/>
              </w:rPr>
              <w:t xml:space="preserve"> </w:t>
            </w:r>
            <w:r w:rsidR="003B01F7">
              <w:rPr>
                <w:rFonts w:asci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cs="Times New Roman"/>
                <w:sz w:val="20"/>
                <w:szCs w:val="20"/>
              </w:rPr>
              <w:t xml:space="preserve"> зменшення стресу та наслідків бойових дій</w:t>
            </w:r>
            <w:r w:rsidR="003B01F7">
              <w:rPr>
                <w:rFonts w:ascii="Times New Roman" w:cs="Times New Roman"/>
                <w:sz w:val="20"/>
                <w:szCs w:val="20"/>
              </w:rPr>
              <w:t xml:space="preserve">. Посилення сімейних зв’язків : покращення комунікації в сім’ї після тривалих розлук; </w:t>
            </w:r>
            <w:r w:rsidR="003B01F7" w:rsidRPr="003B01F7">
              <w:rPr>
                <w:rFonts w:ascii="Times New Roman" w:cs="Times New Roman"/>
                <w:sz w:val="20"/>
                <w:szCs w:val="20"/>
              </w:rPr>
              <w:t>профілактика сімейних конфліктів, що можуть виникати після повернення з війни</w:t>
            </w:r>
            <w:r w:rsidR="003B01F7">
              <w:rPr>
                <w:rFonts w:ascii="Times New Roman" w:cs="Times New Roman"/>
                <w:sz w:val="20"/>
                <w:szCs w:val="20"/>
              </w:rPr>
              <w:t xml:space="preserve">. </w:t>
            </w:r>
          </w:p>
          <w:p w14:paraId="0DF75A4F" w14:textId="77777777" w:rsidR="00D84571" w:rsidRPr="00412D9F" w:rsidRDefault="003B01F7" w:rsidP="00412D9F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 xml:space="preserve">Забезпечення соціальної адаптації шляхом </w:t>
            </w:r>
            <w:r w:rsidRPr="003B01F7">
              <w:rPr>
                <w:rFonts w:ascii="Times New Roman" w:cs="Times New Roman"/>
                <w:sz w:val="20"/>
                <w:szCs w:val="20"/>
              </w:rPr>
              <w:t>повернення до мирного життя через позитивний досвід</w:t>
            </w:r>
            <w:r>
              <w:rPr>
                <w:rFonts w:ascii="Times New Roman" w:cs="Times New Roman"/>
                <w:sz w:val="20"/>
                <w:szCs w:val="20"/>
              </w:rPr>
              <w:t>.</w:t>
            </w:r>
          </w:p>
        </w:tc>
      </w:tr>
      <w:tr w:rsidR="00EB5521" w14:paraId="088CD55E" w14:textId="77777777" w:rsidTr="007D68FC">
        <w:trPr>
          <w:cantSplit/>
          <w:trHeight w:val="461"/>
          <w:tblHeader/>
        </w:trPr>
        <w:tc>
          <w:tcPr>
            <w:tcW w:w="11000" w:type="dxa"/>
            <w:gridSpan w:val="6"/>
            <w:vAlign w:val="center"/>
          </w:tcPr>
          <w:p w14:paraId="53496EB3" w14:textId="77777777" w:rsidR="00EB5521" w:rsidRDefault="002C5281">
            <w:pPr>
              <w:jc w:val="center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b/>
                <w:sz w:val="20"/>
                <w:szCs w:val="20"/>
              </w:rPr>
              <w:t>Усього:</w:t>
            </w:r>
          </w:p>
        </w:tc>
        <w:tc>
          <w:tcPr>
            <w:tcW w:w="5246" w:type="dxa"/>
            <w:gridSpan w:val="3"/>
            <w:vAlign w:val="center"/>
          </w:tcPr>
          <w:p w14:paraId="43289FF2" w14:textId="6DCE0579" w:rsidR="00EB5521" w:rsidRPr="00F55F2C" w:rsidRDefault="00D51914" w:rsidP="005D7D81">
            <w:pPr>
              <w:jc w:val="center"/>
              <w:rPr>
                <w:rFonts w:asci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>79604</w:t>
            </w:r>
            <w:r w:rsidR="00F55F2C">
              <w:rPr>
                <w:rFonts w:asci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cs="Times New Roman"/>
                <w:b/>
                <w:bCs/>
                <w:sz w:val="20"/>
                <w:szCs w:val="20"/>
              </w:rPr>
              <w:t>8</w:t>
            </w:r>
            <w:r w:rsidR="00F55F2C">
              <w:rPr>
                <w:rFonts w:asci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14:paraId="1DE23172" w14:textId="77777777" w:rsidR="00EB5521" w:rsidRDefault="00EB5521">
      <w:pPr>
        <w:rPr>
          <w:rFonts w:ascii="Times New Roman" w:cs="Times New Roman"/>
          <w:sz w:val="28"/>
          <w:szCs w:val="28"/>
        </w:rPr>
      </w:pPr>
    </w:p>
    <w:p w14:paraId="098FA208" w14:textId="77777777" w:rsidR="00AB10A2" w:rsidRDefault="00AB10A2">
      <w:pPr>
        <w:rPr>
          <w:rFonts w:ascii="Times New Roman" w:cs="Times New Roman"/>
          <w:sz w:val="28"/>
          <w:szCs w:val="28"/>
        </w:rPr>
      </w:pPr>
    </w:p>
    <w:p w14:paraId="6647C88C" w14:textId="77777777" w:rsidR="00EB5521" w:rsidRPr="00AB10A2" w:rsidRDefault="00AB10A2" w:rsidP="00AB10A2">
      <w:pPr>
        <w:tabs>
          <w:tab w:val="left" w:pos="5130"/>
        </w:tabs>
        <w:jc w:val="center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__________________________________________________________</w:t>
      </w:r>
    </w:p>
    <w:sectPr w:rsidR="00EB5521" w:rsidRPr="00AB10A2" w:rsidSect="007F51AC">
      <w:headerReference w:type="default" r:id="rId7"/>
      <w:footerReference w:type="default" r:id="rId8"/>
      <w:pgSz w:w="16838" w:h="11906" w:orient="landscape"/>
      <w:pgMar w:top="142" w:right="395" w:bottom="426" w:left="56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BA2E0" w14:textId="77777777" w:rsidR="0041153A" w:rsidRDefault="0041153A" w:rsidP="00EB5521">
      <w:r>
        <w:separator/>
      </w:r>
    </w:p>
  </w:endnote>
  <w:endnote w:type="continuationSeparator" w:id="0">
    <w:p w14:paraId="2B22AFA8" w14:textId="77777777" w:rsidR="0041153A" w:rsidRDefault="0041153A" w:rsidP="00EB5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30E79" w14:textId="77777777" w:rsidR="00EB5521" w:rsidRDefault="00EB55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right"/>
      <w:rPr>
        <w:rFonts w:eastAsia="Liberation Serif" w:hAnsi="Liberation Serif"/>
        <w:color w:val="000000"/>
        <w:sz w:val="21"/>
        <w:szCs w:val="21"/>
      </w:rPr>
    </w:pPr>
  </w:p>
  <w:p w14:paraId="5F9F3490" w14:textId="77777777" w:rsidR="00EB5521" w:rsidRDefault="00EB552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Liberation Serif" w:hAnsi="Liberation Serif"/>
        <w:color w:val="000000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34C0F" w14:textId="77777777" w:rsidR="0041153A" w:rsidRDefault="0041153A" w:rsidP="00EB5521">
      <w:r>
        <w:separator/>
      </w:r>
    </w:p>
  </w:footnote>
  <w:footnote w:type="continuationSeparator" w:id="0">
    <w:p w14:paraId="595BF303" w14:textId="77777777" w:rsidR="0041153A" w:rsidRDefault="0041153A" w:rsidP="00EB5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D6840" w14:textId="77777777" w:rsidR="00EB5521" w:rsidRDefault="00FA0CF3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360" w:lineRule="auto"/>
      <w:jc w:val="center"/>
      <w:rPr>
        <w:rFonts w:ascii="Times New Roman" w:cs="Times New Roman"/>
        <w:color w:val="000000"/>
      </w:rPr>
    </w:pPr>
    <w:r>
      <w:rPr>
        <w:rFonts w:ascii="Times New Roman" w:cs="Times New Roman"/>
        <w:color w:val="000000"/>
      </w:rPr>
      <w:fldChar w:fldCharType="begin"/>
    </w:r>
    <w:r w:rsidR="002C5281">
      <w:rPr>
        <w:rFonts w:ascii="Times New Roman" w:cs="Times New Roman"/>
        <w:color w:val="000000"/>
      </w:rPr>
      <w:instrText>PAGE</w:instrText>
    </w:r>
    <w:r>
      <w:rPr>
        <w:rFonts w:ascii="Times New Roman" w:cs="Times New Roman"/>
        <w:color w:val="000000"/>
      </w:rPr>
      <w:fldChar w:fldCharType="separate"/>
    </w:r>
    <w:r w:rsidR="00160B46">
      <w:rPr>
        <w:rFonts w:ascii="Times New Roman" w:cs="Times New Roman"/>
        <w:noProof/>
        <w:color w:val="000000"/>
      </w:rPr>
      <w:t>7</w:t>
    </w:r>
    <w:r>
      <w:rPr>
        <w:rFonts w:ascii="Times New Roman" w:cs="Times New Roman"/>
        <w:color w:val="000000"/>
      </w:rPr>
      <w:fldChar w:fldCharType="end"/>
    </w:r>
  </w:p>
  <w:p w14:paraId="23C55A36" w14:textId="77777777" w:rsidR="00EB5521" w:rsidRDefault="007F51AC" w:rsidP="007F51AC">
    <w:pPr>
      <w:widowControl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360" w:lineRule="auto"/>
      <w:ind w:right="-1023" w:firstLine="13183"/>
      <w:rPr>
        <w:rFonts w:ascii="Times New Roman" w:cs="Times New Roman"/>
        <w:color w:val="000000"/>
      </w:rPr>
    </w:pPr>
    <w:r>
      <w:rPr>
        <w:rFonts w:ascii="Times New Roman" w:cs="Times New Roman"/>
        <w:color w:val="000000"/>
      </w:rPr>
      <w:t xml:space="preserve">Продовження додатка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521"/>
    <w:rsid w:val="00051DCF"/>
    <w:rsid w:val="000548D1"/>
    <w:rsid w:val="000617CD"/>
    <w:rsid w:val="00062490"/>
    <w:rsid w:val="000B79B4"/>
    <w:rsid w:val="000B7B7C"/>
    <w:rsid w:val="000C3422"/>
    <w:rsid w:val="000F3006"/>
    <w:rsid w:val="0010735B"/>
    <w:rsid w:val="00114719"/>
    <w:rsid w:val="00122C5A"/>
    <w:rsid w:val="00134676"/>
    <w:rsid w:val="00144B9D"/>
    <w:rsid w:val="00160B46"/>
    <w:rsid w:val="001E3D6E"/>
    <w:rsid w:val="001E52BF"/>
    <w:rsid w:val="002347AB"/>
    <w:rsid w:val="00290AFD"/>
    <w:rsid w:val="00291EEF"/>
    <w:rsid w:val="002B4C06"/>
    <w:rsid w:val="002B7C45"/>
    <w:rsid w:val="002C5281"/>
    <w:rsid w:val="002C6A11"/>
    <w:rsid w:val="00302580"/>
    <w:rsid w:val="00335B73"/>
    <w:rsid w:val="00350120"/>
    <w:rsid w:val="003768E2"/>
    <w:rsid w:val="003919CA"/>
    <w:rsid w:val="00393010"/>
    <w:rsid w:val="003B01F7"/>
    <w:rsid w:val="003B44F7"/>
    <w:rsid w:val="003D0D88"/>
    <w:rsid w:val="003E2088"/>
    <w:rsid w:val="003F0B63"/>
    <w:rsid w:val="00402DAC"/>
    <w:rsid w:val="00410F47"/>
    <w:rsid w:val="0041153A"/>
    <w:rsid w:val="00412D9F"/>
    <w:rsid w:val="0042052D"/>
    <w:rsid w:val="00437596"/>
    <w:rsid w:val="004550F1"/>
    <w:rsid w:val="00456D54"/>
    <w:rsid w:val="00462F3F"/>
    <w:rsid w:val="00464A75"/>
    <w:rsid w:val="0046639B"/>
    <w:rsid w:val="00472E9E"/>
    <w:rsid w:val="004D3B24"/>
    <w:rsid w:val="004D4646"/>
    <w:rsid w:val="004F4463"/>
    <w:rsid w:val="00574347"/>
    <w:rsid w:val="00585EC9"/>
    <w:rsid w:val="005A2528"/>
    <w:rsid w:val="005C0CEF"/>
    <w:rsid w:val="005C34D2"/>
    <w:rsid w:val="005D7D81"/>
    <w:rsid w:val="005E2A7F"/>
    <w:rsid w:val="005E62BF"/>
    <w:rsid w:val="005F6602"/>
    <w:rsid w:val="0062714C"/>
    <w:rsid w:val="006326E5"/>
    <w:rsid w:val="006577ED"/>
    <w:rsid w:val="00671817"/>
    <w:rsid w:val="0069098C"/>
    <w:rsid w:val="006C1059"/>
    <w:rsid w:val="006C6798"/>
    <w:rsid w:val="006E4646"/>
    <w:rsid w:val="006E5482"/>
    <w:rsid w:val="006F0D81"/>
    <w:rsid w:val="006F33CD"/>
    <w:rsid w:val="007118BE"/>
    <w:rsid w:val="007149D2"/>
    <w:rsid w:val="00774224"/>
    <w:rsid w:val="00774667"/>
    <w:rsid w:val="007D68FC"/>
    <w:rsid w:val="007F51AC"/>
    <w:rsid w:val="00805FC6"/>
    <w:rsid w:val="0081118D"/>
    <w:rsid w:val="00830E96"/>
    <w:rsid w:val="00860E9C"/>
    <w:rsid w:val="0087081F"/>
    <w:rsid w:val="00877E24"/>
    <w:rsid w:val="008823D2"/>
    <w:rsid w:val="008921FE"/>
    <w:rsid w:val="00896809"/>
    <w:rsid w:val="008E6C82"/>
    <w:rsid w:val="00911EBB"/>
    <w:rsid w:val="00945D10"/>
    <w:rsid w:val="00947845"/>
    <w:rsid w:val="00966632"/>
    <w:rsid w:val="00992383"/>
    <w:rsid w:val="00996B15"/>
    <w:rsid w:val="009A4247"/>
    <w:rsid w:val="009A4795"/>
    <w:rsid w:val="009A6A58"/>
    <w:rsid w:val="009A7BBB"/>
    <w:rsid w:val="00A077EC"/>
    <w:rsid w:val="00A32350"/>
    <w:rsid w:val="00A51A78"/>
    <w:rsid w:val="00A978A0"/>
    <w:rsid w:val="00AB10A2"/>
    <w:rsid w:val="00AE214B"/>
    <w:rsid w:val="00AE5B27"/>
    <w:rsid w:val="00AF5A3C"/>
    <w:rsid w:val="00AF6A57"/>
    <w:rsid w:val="00B15192"/>
    <w:rsid w:val="00B20AED"/>
    <w:rsid w:val="00B62E6C"/>
    <w:rsid w:val="00B84DD0"/>
    <w:rsid w:val="00B94587"/>
    <w:rsid w:val="00BA0C12"/>
    <w:rsid w:val="00BB3FFF"/>
    <w:rsid w:val="00BB55B5"/>
    <w:rsid w:val="00BF4F0B"/>
    <w:rsid w:val="00C02C7C"/>
    <w:rsid w:val="00C265CE"/>
    <w:rsid w:val="00C40888"/>
    <w:rsid w:val="00C81E00"/>
    <w:rsid w:val="00C8574C"/>
    <w:rsid w:val="00C875C5"/>
    <w:rsid w:val="00C87DD2"/>
    <w:rsid w:val="00CA0F3D"/>
    <w:rsid w:val="00CB2F41"/>
    <w:rsid w:val="00CB2FA4"/>
    <w:rsid w:val="00CB5038"/>
    <w:rsid w:val="00CD476F"/>
    <w:rsid w:val="00CE2FD1"/>
    <w:rsid w:val="00CF6033"/>
    <w:rsid w:val="00D331B2"/>
    <w:rsid w:val="00D51914"/>
    <w:rsid w:val="00D84571"/>
    <w:rsid w:val="00DA7824"/>
    <w:rsid w:val="00DB6F2C"/>
    <w:rsid w:val="00DC2DE5"/>
    <w:rsid w:val="00DD3250"/>
    <w:rsid w:val="00DD3412"/>
    <w:rsid w:val="00E278A8"/>
    <w:rsid w:val="00E34E32"/>
    <w:rsid w:val="00E366A5"/>
    <w:rsid w:val="00E467EF"/>
    <w:rsid w:val="00E81B9A"/>
    <w:rsid w:val="00E87201"/>
    <w:rsid w:val="00E92F58"/>
    <w:rsid w:val="00EB5521"/>
    <w:rsid w:val="00EE23F4"/>
    <w:rsid w:val="00EE7947"/>
    <w:rsid w:val="00EF4ACD"/>
    <w:rsid w:val="00EF5403"/>
    <w:rsid w:val="00F079A7"/>
    <w:rsid w:val="00F07D5C"/>
    <w:rsid w:val="00F260D5"/>
    <w:rsid w:val="00F40E9F"/>
    <w:rsid w:val="00F55F2C"/>
    <w:rsid w:val="00F71BF3"/>
    <w:rsid w:val="00F80B09"/>
    <w:rsid w:val="00F90FAC"/>
    <w:rsid w:val="00FA0CF3"/>
    <w:rsid w:val="00FA184E"/>
    <w:rsid w:val="00FD03D8"/>
    <w:rsid w:val="00FD7040"/>
    <w:rsid w:val="00FE6E10"/>
    <w:rsid w:val="00FF20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557A"/>
  <w15:docId w15:val="{D0D87AC0-BAE8-4930-9E35-BCB4F4FFF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Liberation Serif" w:hAnsi="Liberation Serif" w:cs="Liberation Serif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6089"/>
    <w:pPr>
      <w:suppressAutoHyphens/>
    </w:pPr>
    <w:rPr>
      <w:rFonts w:eastAsia="Times New Roman" w:hAnsi="Times New Roman"/>
      <w:kern w:val="1"/>
      <w:lang w:eastAsia="zh-CN"/>
    </w:rPr>
  </w:style>
  <w:style w:type="paragraph" w:styleId="1">
    <w:name w:val="heading 1"/>
    <w:basedOn w:val="10"/>
    <w:next w:val="10"/>
    <w:rsid w:val="00EB552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EB552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EB552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EB552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EB552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EB552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EB5521"/>
  </w:style>
  <w:style w:type="table" w:customStyle="1" w:styleId="TableNormal">
    <w:name w:val="Table Normal"/>
    <w:rsid w:val="00EB552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EB552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rsid w:val="00FB6089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5">
    <w:name w:val="Верхній колонтитул Знак"/>
    <w:basedOn w:val="a0"/>
    <w:link w:val="a4"/>
    <w:uiPriority w:val="99"/>
    <w:rsid w:val="00FB6089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6">
    <w:name w:val="footer"/>
    <w:basedOn w:val="a"/>
    <w:link w:val="a7"/>
    <w:uiPriority w:val="99"/>
    <w:rsid w:val="00FB6089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7">
    <w:name w:val="Нижній колонтитул Знак"/>
    <w:basedOn w:val="a0"/>
    <w:link w:val="a6"/>
    <w:uiPriority w:val="99"/>
    <w:rsid w:val="00FB6089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8">
    <w:name w:val="List Paragraph"/>
    <w:basedOn w:val="a"/>
    <w:uiPriority w:val="34"/>
    <w:qFormat/>
    <w:rsid w:val="00FB608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735D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7735D3"/>
    <w:rPr>
      <w:rFonts w:ascii="Tahoma" w:eastAsia="Times New Roman" w:hAnsi="Tahoma" w:cs="Tahoma"/>
      <w:kern w:val="1"/>
      <w:sz w:val="16"/>
      <w:szCs w:val="16"/>
      <w:lang w:val="uk-UA" w:eastAsia="zh-CN"/>
    </w:rPr>
  </w:style>
  <w:style w:type="character" w:styleId="ab">
    <w:name w:val="Emphasis"/>
    <w:basedOn w:val="a0"/>
    <w:uiPriority w:val="20"/>
    <w:qFormat/>
    <w:rsid w:val="005F7584"/>
    <w:rPr>
      <w:i/>
      <w:iCs/>
    </w:rPr>
  </w:style>
  <w:style w:type="paragraph" w:styleId="ac">
    <w:name w:val="Subtitle"/>
    <w:basedOn w:val="10"/>
    <w:next w:val="10"/>
    <w:rsid w:val="00EB552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"/>
    <w:rsid w:val="00EB552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e">
    <w:name w:val="Normal (Web)"/>
    <w:basedOn w:val="a"/>
    <w:uiPriority w:val="99"/>
    <w:unhideWhenUsed/>
    <w:rsid w:val="005C34D2"/>
    <w:pPr>
      <w:widowControl/>
      <w:suppressAutoHyphens w:val="0"/>
      <w:spacing w:before="100" w:beforeAutospacing="1" w:after="100" w:afterAutospacing="1"/>
    </w:pPr>
    <w:rPr>
      <w:rFonts w:ascii="Times New Roman" w:cs="Times New Roman"/>
      <w:kern w:val="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2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45629">
          <w:marLeft w:val="-2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cERnDtEeI42Ox780UxtNnd+PvA==">AMUW2mVwxjJYozDEZ+IaWccaTAUP06dFnsMVfzyHjw3RN3d3VJ3aNdO2KL4ZE+xqKxiQhJu9/bdyH1JRl1xiKeiU8/T4Hki1uvC6uVVn1142mfhsAi7PpA5bAfRkWiYRWqhLUoc3Q1L93sdsb9auLXI8MMGGjYBE1Q==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7350</Words>
  <Characters>4190</Characters>
  <Application>Microsoft Office Word</Application>
  <DocSecurity>0</DocSecurity>
  <Lines>34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Спеціаліст Управління</cp:lastModifiedBy>
  <cp:revision>12</cp:revision>
  <cp:lastPrinted>2025-10-31T12:58:00Z</cp:lastPrinted>
  <dcterms:created xsi:type="dcterms:W3CDTF">2025-12-30T08:31:00Z</dcterms:created>
  <dcterms:modified xsi:type="dcterms:W3CDTF">2025-12-30T16:03:00Z</dcterms:modified>
</cp:coreProperties>
</file>